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17EC" w14:textId="77777777" w:rsidR="004A3DC4" w:rsidRDefault="004A3DC4" w:rsidP="004A3DC4">
      <w:pPr>
        <w:pStyle w:val="OMBInfo"/>
      </w:pPr>
      <w:r>
        <w:t>OMB No. 0925-0001 and 0925-0002 (Rev. 10/2021</w:t>
      </w:r>
      <w:r w:rsidRPr="007E6E1E">
        <w:t xml:space="preserve"> </w:t>
      </w:r>
      <w:r>
        <w:t>Approved Through 09/30/2024)</w:t>
      </w:r>
    </w:p>
    <w:p w14:paraId="48D07FF5" w14:textId="77777777" w:rsidR="002B7443" w:rsidRPr="006E6FB5" w:rsidRDefault="002B7443" w:rsidP="006E6FB5">
      <w:pPr>
        <w:pStyle w:val="Title"/>
      </w:pPr>
      <w:r w:rsidRPr="006E6FB5">
        <w:t>BIOGRAPHICAL SKETCH</w:t>
      </w:r>
    </w:p>
    <w:p w14:paraId="01C9B6C5" w14:textId="7EDF005C"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1A854689" w14:textId="77777777" w:rsidR="009D444C" w:rsidRPr="00D3779E" w:rsidRDefault="009D444C" w:rsidP="009D444C">
      <w:pPr>
        <w:pStyle w:val="FormFieldCaption1"/>
        <w:pBdr>
          <w:between w:val="single" w:sz="4" w:space="1" w:color="auto"/>
        </w:pBdr>
        <w:rPr>
          <w:sz w:val="32"/>
        </w:rPr>
      </w:pPr>
      <w:r w:rsidRPr="00D3779E">
        <w:rPr>
          <w:sz w:val="22"/>
        </w:rPr>
        <w:t>NAME:</w:t>
      </w:r>
      <w:r>
        <w:rPr>
          <w:sz w:val="22"/>
        </w:rPr>
        <w:t xml:space="preserve"> Erik S. Wright</w:t>
      </w:r>
    </w:p>
    <w:p w14:paraId="05EFABDF" w14:textId="0E78212A" w:rsidR="009D444C" w:rsidRPr="00D3779E" w:rsidRDefault="009D444C" w:rsidP="009D444C">
      <w:pPr>
        <w:pStyle w:val="FormFieldCaption1"/>
        <w:pBdr>
          <w:between w:val="single" w:sz="4" w:space="1" w:color="auto"/>
        </w:pBdr>
        <w:rPr>
          <w:sz w:val="32"/>
        </w:rPr>
      </w:pPr>
      <w:proofErr w:type="spellStart"/>
      <w:r w:rsidRPr="00D3779E">
        <w:rPr>
          <w:sz w:val="22"/>
        </w:rPr>
        <w:t>eRA</w:t>
      </w:r>
      <w:proofErr w:type="spellEnd"/>
      <w:r w:rsidRPr="00D3779E">
        <w:rPr>
          <w:sz w:val="22"/>
        </w:rPr>
        <w:t xml:space="preserve"> COMMONS USER NAME (credential, e.g., agency login):</w:t>
      </w:r>
      <w:r>
        <w:rPr>
          <w:sz w:val="22"/>
        </w:rPr>
        <w:t xml:space="preserve"> eswright</w:t>
      </w:r>
    </w:p>
    <w:p w14:paraId="56A14308" w14:textId="77777777" w:rsidR="009D444C" w:rsidRPr="00D3779E" w:rsidRDefault="009D444C" w:rsidP="009D444C">
      <w:pPr>
        <w:pStyle w:val="FormFieldCaption1"/>
        <w:pBdr>
          <w:between w:val="single" w:sz="4" w:space="1" w:color="auto"/>
        </w:pBdr>
        <w:rPr>
          <w:sz w:val="32"/>
        </w:rPr>
      </w:pPr>
      <w:r w:rsidRPr="00D3779E">
        <w:rPr>
          <w:sz w:val="22"/>
        </w:rPr>
        <w:t>POSITION TITLE:</w:t>
      </w:r>
      <w:r>
        <w:rPr>
          <w:sz w:val="22"/>
        </w:rPr>
        <w:t xml:space="preserve"> Assistant Professor of Biomedical Informatics</w:t>
      </w:r>
    </w:p>
    <w:p w14:paraId="03956C84" w14:textId="77777777" w:rsidR="009D444C" w:rsidRPr="00D3779E" w:rsidRDefault="009D444C" w:rsidP="009D444C">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9D444C" w:rsidRPr="00D3779E" w14:paraId="4A8BEF0D" w14:textId="77777777" w:rsidTr="00030A23">
        <w:trPr>
          <w:cantSplit/>
          <w:tblHeader/>
        </w:trPr>
        <w:tc>
          <w:tcPr>
            <w:tcW w:w="5364" w:type="dxa"/>
            <w:tcBorders>
              <w:top w:val="single" w:sz="4" w:space="0" w:color="auto"/>
              <w:bottom w:val="single" w:sz="4" w:space="0" w:color="auto"/>
            </w:tcBorders>
            <w:vAlign w:val="center"/>
          </w:tcPr>
          <w:p w14:paraId="1670B8EE" w14:textId="77777777" w:rsidR="009D444C" w:rsidRPr="00D3779E" w:rsidRDefault="009D444C" w:rsidP="00030A23">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7D73460B" w14:textId="77777777" w:rsidR="009D444C" w:rsidRPr="00D3779E" w:rsidRDefault="009D444C" w:rsidP="00030A23">
            <w:pPr>
              <w:pStyle w:val="FormFieldCaption"/>
              <w:jc w:val="center"/>
              <w:rPr>
                <w:sz w:val="22"/>
              </w:rPr>
            </w:pPr>
            <w:r w:rsidRPr="00D3779E">
              <w:rPr>
                <w:sz w:val="22"/>
              </w:rPr>
              <w:t>DEGREE</w:t>
            </w:r>
          </w:p>
          <w:p w14:paraId="4A530E0E" w14:textId="77777777" w:rsidR="009D444C" w:rsidRPr="00D3779E" w:rsidRDefault="009D444C" w:rsidP="00030A23">
            <w:pPr>
              <w:pStyle w:val="FormFieldCaption"/>
              <w:jc w:val="center"/>
              <w:rPr>
                <w:rStyle w:val="Emphasis"/>
                <w:sz w:val="22"/>
              </w:rPr>
            </w:pPr>
            <w:r w:rsidRPr="00D3779E">
              <w:rPr>
                <w:rStyle w:val="Emphasis"/>
                <w:sz w:val="22"/>
              </w:rPr>
              <w:t>(if applicable)</w:t>
            </w:r>
          </w:p>
          <w:p w14:paraId="6F4F04E0" w14:textId="77777777" w:rsidR="009D444C" w:rsidRPr="00D3779E" w:rsidRDefault="009D444C" w:rsidP="00030A23">
            <w:pPr>
              <w:pStyle w:val="FormFieldCaption"/>
              <w:rPr>
                <w:sz w:val="22"/>
              </w:rPr>
            </w:pPr>
          </w:p>
        </w:tc>
        <w:tc>
          <w:tcPr>
            <w:tcW w:w="1440" w:type="dxa"/>
            <w:tcBorders>
              <w:top w:val="single" w:sz="4" w:space="0" w:color="auto"/>
              <w:bottom w:val="single" w:sz="4" w:space="0" w:color="auto"/>
            </w:tcBorders>
            <w:vAlign w:val="center"/>
          </w:tcPr>
          <w:p w14:paraId="457B04C1" w14:textId="77777777" w:rsidR="009D444C" w:rsidRPr="00D3779E" w:rsidRDefault="009D444C" w:rsidP="00030A23">
            <w:pPr>
              <w:pStyle w:val="FormFieldCaption"/>
              <w:jc w:val="center"/>
              <w:rPr>
                <w:sz w:val="22"/>
              </w:rPr>
            </w:pPr>
            <w:r w:rsidRPr="00D3779E">
              <w:rPr>
                <w:sz w:val="22"/>
              </w:rPr>
              <w:t>Completion Date</w:t>
            </w:r>
          </w:p>
          <w:p w14:paraId="1B7231DD" w14:textId="77777777" w:rsidR="009D444C" w:rsidRPr="00D3779E" w:rsidRDefault="009D444C" w:rsidP="00030A23">
            <w:pPr>
              <w:pStyle w:val="FormFieldCaption"/>
              <w:jc w:val="center"/>
              <w:rPr>
                <w:sz w:val="22"/>
              </w:rPr>
            </w:pPr>
            <w:r w:rsidRPr="00D3779E">
              <w:rPr>
                <w:sz w:val="22"/>
              </w:rPr>
              <w:t>MM/YYYY</w:t>
            </w:r>
          </w:p>
          <w:p w14:paraId="06EFA549" w14:textId="77777777" w:rsidR="009D444C" w:rsidRPr="00D3779E" w:rsidRDefault="009D444C" w:rsidP="00030A23">
            <w:pPr>
              <w:pStyle w:val="FormFieldCaption"/>
              <w:rPr>
                <w:sz w:val="22"/>
              </w:rPr>
            </w:pPr>
          </w:p>
        </w:tc>
        <w:tc>
          <w:tcPr>
            <w:tcW w:w="2592" w:type="dxa"/>
            <w:tcBorders>
              <w:top w:val="single" w:sz="4" w:space="0" w:color="auto"/>
              <w:bottom w:val="single" w:sz="4" w:space="0" w:color="auto"/>
            </w:tcBorders>
            <w:vAlign w:val="center"/>
          </w:tcPr>
          <w:p w14:paraId="32A48543" w14:textId="77777777" w:rsidR="009D444C" w:rsidRPr="00D3779E" w:rsidRDefault="009D444C" w:rsidP="00030A23">
            <w:pPr>
              <w:pStyle w:val="FormFieldCaption"/>
              <w:jc w:val="center"/>
              <w:rPr>
                <w:sz w:val="22"/>
              </w:rPr>
            </w:pPr>
            <w:r w:rsidRPr="00D3779E">
              <w:rPr>
                <w:sz w:val="22"/>
              </w:rPr>
              <w:t>FIELD OF STUDY</w:t>
            </w:r>
          </w:p>
          <w:p w14:paraId="6C992777" w14:textId="77777777" w:rsidR="009D444C" w:rsidRPr="00D3779E" w:rsidRDefault="009D444C" w:rsidP="00030A23">
            <w:pPr>
              <w:pStyle w:val="FormFieldCaption"/>
              <w:rPr>
                <w:sz w:val="22"/>
              </w:rPr>
            </w:pPr>
          </w:p>
        </w:tc>
      </w:tr>
      <w:tr w:rsidR="009D444C" w:rsidRPr="00D3779E" w14:paraId="723CE89F" w14:textId="77777777" w:rsidTr="00030A23">
        <w:trPr>
          <w:cantSplit/>
          <w:trHeight w:val="395"/>
        </w:trPr>
        <w:tc>
          <w:tcPr>
            <w:tcW w:w="5364" w:type="dxa"/>
            <w:tcBorders>
              <w:top w:val="single" w:sz="4" w:space="0" w:color="auto"/>
            </w:tcBorders>
          </w:tcPr>
          <w:p w14:paraId="755E9212" w14:textId="77777777" w:rsidR="009D444C" w:rsidRPr="00977FA5" w:rsidRDefault="009D444C" w:rsidP="00030A23">
            <w:pPr>
              <w:pStyle w:val="FormFieldCaption"/>
              <w:spacing w:before="20" w:after="20"/>
              <w:rPr>
                <w:sz w:val="22"/>
                <w:szCs w:val="22"/>
              </w:rPr>
            </w:pPr>
            <w:r>
              <w:rPr>
                <w:sz w:val="22"/>
                <w:szCs w:val="22"/>
              </w:rPr>
              <w:t>Cornell University</w:t>
            </w:r>
          </w:p>
        </w:tc>
        <w:tc>
          <w:tcPr>
            <w:tcW w:w="1440" w:type="dxa"/>
            <w:tcBorders>
              <w:top w:val="single" w:sz="4" w:space="0" w:color="auto"/>
            </w:tcBorders>
          </w:tcPr>
          <w:p w14:paraId="4816C043" w14:textId="77777777" w:rsidR="009D444C" w:rsidRPr="00977FA5" w:rsidRDefault="009D444C" w:rsidP="00030A23">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2BDAB0C5" w14:textId="77777777" w:rsidR="009D444C" w:rsidRPr="00977FA5" w:rsidRDefault="009D444C" w:rsidP="00030A23">
            <w:pPr>
              <w:pStyle w:val="FormFieldCaption"/>
              <w:spacing w:before="20" w:after="20"/>
              <w:jc w:val="center"/>
              <w:rPr>
                <w:sz w:val="22"/>
                <w:szCs w:val="22"/>
              </w:rPr>
            </w:pPr>
            <w:r>
              <w:rPr>
                <w:sz w:val="22"/>
                <w:szCs w:val="22"/>
              </w:rPr>
              <w:t>01/2007</w:t>
            </w:r>
          </w:p>
        </w:tc>
        <w:tc>
          <w:tcPr>
            <w:tcW w:w="2592" w:type="dxa"/>
            <w:tcBorders>
              <w:top w:val="single" w:sz="4" w:space="0" w:color="auto"/>
            </w:tcBorders>
          </w:tcPr>
          <w:p w14:paraId="7FBC34A7" w14:textId="77777777" w:rsidR="009D444C" w:rsidRPr="00977FA5" w:rsidRDefault="009D444C" w:rsidP="00030A23">
            <w:pPr>
              <w:pStyle w:val="FormFieldCaption"/>
              <w:spacing w:before="20" w:after="20"/>
              <w:rPr>
                <w:sz w:val="22"/>
                <w:szCs w:val="22"/>
              </w:rPr>
            </w:pPr>
            <w:r>
              <w:rPr>
                <w:sz w:val="22"/>
                <w:szCs w:val="22"/>
              </w:rPr>
              <w:t>Electrical and Computer Engineering</w:t>
            </w:r>
          </w:p>
        </w:tc>
      </w:tr>
      <w:tr w:rsidR="009D444C" w:rsidRPr="00D3779E" w14:paraId="2CC079D5" w14:textId="77777777" w:rsidTr="00030A23">
        <w:trPr>
          <w:cantSplit/>
          <w:trHeight w:val="395"/>
        </w:trPr>
        <w:tc>
          <w:tcPr>
            <w:tcW w:w="5364" w:type="dxa"/>
          </w:tcPr>
          <w:p w14:paraId="25B502A4" w14:textId="77777777" w:rsidR="009D444C" w:rsidRPr="00977FA5" w:rsidRDefault="009D444C" w:rsidP="00030A23">
            <w:pPr>
              <w:pStyle w:val="FormFieldCaption"/>
              <w:spacing w:before="20" w:after="20"/>
              <w:rPr>
                <w:sz w:val="22"/>
                <w:szCs w:val="22"/>
              </w:rPr>
            </w:pPr>
            <w:r>
              <w:rPr>
                <w:sz w:val="22"/>
                <w:szCs w:val="22"/>
              </w:rPr>
              <w:t>University of Wisconsin-Madison</w:t>
            </w:r>
          </w:p>
        </w:tc>
        <w:tc>
          <w:tcPr>
            <w:tcW w:w="1440" w:type="dxa"/>
          </w:tcPr>
          <w:p w14:paraId="2C331031" w14:textId="77777777" w:rsidR="009D444C" w:rsidRPr="00977FA5" w:rsidRDefault="009D444C" w:rsidP="00030A23">
            <w:pPr>
              <w:pStyle w:val="FormFieldCaption"/>
              <w:spacing w:before="20" w:after="20"/>
              <w:jc w:val="center"/>
              <w:rPr>
                <w:sz w:val="22"/>
                <w:szCs w:val="22"/>
              </w:rPr>
            </w:pPr>
            <w:r>
              <w:rPr>
                <w:sz w:val="22"/>
                <w:szCs w:val="22"/>
              </w:rPr>
              <w:t>M.S.</w:t>
            </w:r>
          </w:p>
        </w:tc>
        <w:tc>
          <w:tcPr>
            <w:tcW w:w="1440" w:type="dxa"/>
          </w:tcPr>
          <w:p w14:paraId="3E00EDA2" w14:textId="77777777" w:rsidR="009D444C" w:rsidRPr="00977FA5" w:rsidRDefault="009D444C" w:rsidP="00030A23">
            <w:pPr>
              <w:pStyle w:val="FormFieldCaption"/>
              <w:spacing w:before="20" w:after="20"/>
              <w:jc w:val="center"/>
              <w:rPr>
                <w:sz w:val="22"/>
                <w:szCs w:val="22"/>
              </w:rPr>
            </w:pPr>
            <w:r>
              <w:rPr>
                <w:sz w:val="22"/>
                <w:szCs w:val="22"/>
              </w:rPr>
              <w:t>08/2012</w:t>
            </w:r>
          </w:p>
        </w:tc>
        <w:tc>
          <w:tcPr>
            <w:tcW w:w="2592" w:type="dxa"/>
          </w:tcPr>
          <w:p w14:paraId="44A944C8" w14:textId="77777777" w:rsidR="009D444C" w:rsidRPr="00977FA5" w:rsidRDefault="009D444C" w:rsidP="00030A23">
            <w:pPr>
              <w:pStyle w:val="FormFieldCaption"/>
              <w:spacing w:before="20" w:after="20"/>
              <w:rPr>
                <w:sz w:val="22"/>
                <w:szCs w:val="22"/>
              </w:rPr>
            </w:pPr>
            <w:r>
              <w:rPr>
                <w:sz w:val="22"/>
                <w:szCs w:val="22"/>
              </w:rPr>
              <w:t>Civil and Environmental Engineering</w:t>
            </w:r>
          </w:p>
        </w:tc>
      </w:tr>
      <w:tr w:rsidR="009D444C" w:rsidRPr="000A35C4" w14:paraId="0C2D9165" w14:textId="77777777" w:rsidTr="00030A23">
        <w:trPr>
          <w:cantSplit/>
          <w:trHeight w:val="395"/>
        </w:trPr>
        <w:tc>
          <w:tcPr>
            <w:tcW w:w="5364" w:type="dxa"/>
          </w:tcPr>
          <w:p w14:paraId="6F0EBDA9" w14:textId="77777777" w:rsidR="009D444C" w:rsidRPr="000A35C4" w:rsidRDefault="009D444C" w:rsidP="00030A23">
            <w:pPr>
              <w:pStyle w:val="FormFieldCaption"/>
              <w:spacing w:before="20" w:after="20"/>
              <w:rPr>
                <w:sz w:val="22"/>
                <w:szCs w:val="22"/>
              </w:rPr>
            </w:pPr>
            <w:r w:rsidRPr="000A35C4">
              <w:rPr>
                <w:sz w:val="22"/>
                <w:szCs w:val="22"/>
              </w:rPr>
              <w:t>University of Wisconsin-Madison</w:t>
            </w:r>
          </w:p>
        </w:tc>
        <w:tc>
          <w:tcPr>
            <w:tcW w:w="1440" w:type="dxa"/>
          </w:tcPr>
          <w:p w14:paraId="238F0212" w14:textId="77777777" w:rsidR="009D444C" w:rsidRPr="000A35C4" w:rsidRDefault="009D444C" w:rsidP="00030A23">
            <w:pPr>
              <w:pStyle w:val="FormFieldCaption"/>
              <w:spacing w:before="20" w:after="20"/>
              <w:jc w:val="center"/>
              <w:rPr>
                <w:sz w:val="22"/>
                <w:szCs w:val="22"/>
              </w:rPr>
            </w:pPr>
            <w:r w:rsidRPr="000A35C4">
              <w:rPr>
                <w:sz w:val="22"/>
                <w:szCs w:val="22"/>
              </w:rPr>
              <w:t>Ph.D.</w:t>
            </w:r>
          </w:p>
        </w:tc>
        <w:tc>
          <w:tcPr>
            <w:tcW w:w="1440" w:type="dxa"/>
          </w:tcPr>
          <w:p w14:paraId="404F21D0" w14:textId="77777777" w:rsidR="009D444C" w:rsidRPr="000A35C4" w:rsidRDefault="009D444C" w:rsidP="00030A23">
            <w:pPr>
              <w:pStyle w:val="FormFieldCaption"/>
              <w:spacing w:before="20" w:after="20"/>
              <w:jc w:val="center"/>
              <w:rPr>
                <w:sz w:val="22"/>
                <w:szCs w:val="22"/>
              </w:rPr>
            </w:pPr>
            <w:r w:rsidRPr="000A35C4">
              <w:rPr>
                <w:sz w:val="22"/>
                <w:szCs w:val="22"/>
              </w:rPr>
              <w:t>12/2016</w:t>
            </w:r>
          </w:p>
        </w:tc>
        <w:tc>
          <w:tcPr>
            <w:tcW w:w="2592" w:type="dxa"/>
          </w:tcPr>
          <w:p w14:paraId="36D10806" w14:textId="77777777" w:rsidR="009D444C" w:rsidRPr="000A35C4" w:rsidRDefault="009D444C" w:rsidP="00030A23">
            <w:pPr>
              <w:pStyle w:val="FormFieldCaption"/>
              <w:spacing w:before="20" w:after="20"/>
              <w:rPr>
                <w:sz w:val="22"/>
                <w:szCs w:val="22"/>
              </w:rPr>
            </w:pPr>
            <w:r w:rsidRPr="000A35C4">
              <w:rPr>
                <w:sz w:val="22"/>
                <w:szCs w:val="22"/>
              </w:rPr>
              <w:t>Microbiology</w:t>
            </w:r>
          </w:p>
        </w:tc>
      </w:tr>
    </w:tbl>
    <w:p w14:paraId="6FC868BE" w14:textId="735E875D" w:rsidR="009E52CA" w:rsidRPr="000A35C4" w:rsidRDefault="009E52CA">
      <w:pPr>
        <w:pStyle w:val="DataField11pt-Single"/>
      </w:pPr>
    </w:p>
    <w:p w14:paraId="7F0F3389" w14:textId="6FBABED9" w:rsidR="00C75BA8" w:rsidRPr="000A35C4" w:rsidRDefault="002C51BC" w:rsidP="002C51BC">
      <w:pPr>
        <w:pStyle w:val="DataField11pt-Single"/>
        <w:rPr>
          <w:rStyle w:val="Strong"/>
        </w:rPr>
      </w:pPr>
      <w:r w:rsidRPr="000A35C4">
        <w:rPr>
          <w:rStyle w:val="Strong"/>
        </w:rPr>
        <w:t>A.</w:t>
      </w:r>
      <w:r w:rsidRPr="000A35C4">
        <w:rPr>
          <w:rStyle w:val="Strong"/>
        </w:rPr>
        <w:tab/>
        <w:t>Personal Statement</w:t>
      </w:r>
    </w:p>
    <w:p w14:paraId="1177E0DB" w14:textId="77777777" w:rsidR="00C75BA8" w:rsidRPr="000A35C4" w:rsidRDefault="00C75BA8" w:rsidP="002C51BC">
      <w:pPr>
        <w:pStyle w:val="DataField11pt-Single"/>
        <w:rPr>
          <w:rStyle w:val="Strong"/>
          <w:b w:val="0"/>
        </w:rPr>
      </w:pPr>
    </w:p>
    <w:p w14:paraId="2222A9AB" w14:textId="2432758B" w:rsidR="00FB49C6" w:rsidRPr="000A35C4" w:rsidRDefault="00C75BA8" w:rsidP="002C51BC">
      <w:pPr>
        <w:pStyle w:val="DataField11pt-Single"/>
        <w:rPr>
          <w:rStyle w:val="Strong"/>
          <w:b w:val="0"/>
        </w:rPr>
      </w:pPr>
      <w:r w:rsidRPr="000A35C4">
        <w:rPr>
          <w:rStyle w:val="Strong"/>
          <w:b w:val="0"/>
        </w:rPr>
        <w:t>My mission is to develop innovative solutions to the problem of antimicrobial resistance. I am approaching this mission from multiple</w:t>
      </w:r>
      <w:r>
        <w:rPr>
          <w:rStyle w:val="Strong"/>
          <w:b w:val="0"/>
        </w:rPr>
        <w:t xml:space="preserve"> angles, </w:t>
      </w:r>
      <w:r w:rsidR="00146756">
        <w:rPr>
          <w:rStyle w:val="Strong"/>
          <w:b w:val="0"/>
        </w:rPr>
        <w:t xml:space="preserve">including </w:t>
      </w:r>
      <w:r>
        <w:rPr>
          <w:rStyle w:val="Strong"/>
          <w:b w:val="0"/>
        </w:rPr>
        <w:t>comparative genomics</w:t>
      </w:r>
      <w:r w:rsidR="00146756">
        <w:rPr>
          <w:rStyle w:val="Strong"/>
          <w:b w:val="0"/>
        </w:rPr>
        <w:t>, electronic health record mining</w:t>
      </w:r>
      <w:r>
        <w:rPr>
          <w:rStyle w:val="Strong"/>
          <w:b w:val="0"/>
        </w:rPr>
        <w:t xml:space="preserve">, mass spectrometry, and experimental evolution. </w:t>
      </w:r>
      <w:r w:rsidR="00567D55">
        <w:rPr>
          <w:rStyle w:val="Strong"/>
          <w:b w:val="0"/>
        </w:rPr>
        <w:t>My</w:t>
      </w:r>
      <w:r>
        <w:rPr>
          <w:rStyle w:val="Strong"/>
          <w:b w:val="0"/>
        </w:rPr>
        <w:t xml:space="preserve"> diversity of research interest</w:t>
      </w:r>
      <w:r w:rsidR="00567D55">
        <w:rPr>
          <w:rStyle w:val="Strong"/>
          <w:b w:val="0"/>
        </w:rPr>
        <w:t>s</w:t>
      </w:r>
      <w:r>
        <w:rPr>
          <w:rStyle w:val="Strong"/>
          <w:b w:val="0"/>
        </w:rPr>
        <w:t xml:space="preserve"> reflect my hybrid wet and dry lab background</w:t>
      </w:r>
      <w:r w:rsidR="00567D55">
        <w:rPr>
          <w:rStyle w:val="Strong"/>
          <w:b w:val="0"/>
        </w:rPr>
        <w:t>.</w:t>
      </w:r>
      <w:r>
        <w:rPr>
          <w:rStyle w:val="Strong"/>
          <w:b w:val="0"/>
        </w:rPr>
        <w:t xml:space="preserve"> I am currently </w:t>
      </w:r>
      <w:r w:rsidR="009D444C">
        <w:rPr>
          <w:rStyle w:val="Strong"/>
          <w:b w:val="0"/>
        </w:rPr>
        <w:t>an Assistant Professor of Biomedical Informatics at the University of Pittsburgh</w:t>
      </w:r>
      <w:r w:rsidR="00567D55">
        <w:rPr>
          <w:rStyle w:val="Strong"/>
          <w:b w:val="0"/>
        </w:rPr>
        <w:t xml:space="preserve"> and mentor </w:t>
      </w:r>
      <w:r w:rsidR="00146756">
        <w:rPr>
          <w:rStyle w:val="Strong"/>
          <w:b w:val="0"/>
        </w:rPr>
        <w:t>four</w:t>
      </w:r>
      <w:r w:rsidR="00567D55">
        <w:rPr>
          <w:rStyle w:val="Strong"/>
          <w:b w:val="0"/>
        </w:rPr>
        <w:t xml:space="preserve"> </w:t>
      </w:r>
      <w:r w:rsidR="00146756">
        <w:rPr>
          <w:rStyle w:val="Strong"/>
          <w:b w:val="0"/>
        </w:rPr>
        <w:t>graduate</w:t>
      </w:r>
      <w:r w:rsidR="00567D55">
        <w:rPr>
          <w:rStyle w:val="Strong"/>
          <w:b w:val="0"/>
        </w:rPr>
        <w:t xml:space="preserve"> students. Although originally trained as an electrical and computer engineer, I pivoted to microbiology in graduate school.</w:t>
      </w:r>
      <w:r w:rsidR="00146756">
        <w:rPr>
          <w:rStyle w:val="Strong"/>
          <w:b w:val="0"/>
        </w:rPr>
        <w:t xml:space="preserve"> </w:t>
      </w:r>
      <w:r w:rsidR="00C459D6">
        <w:rPr>
          <w:rStyle w:val="Strong"/>
          <w:b w:val="0"/>
        </w:rPr>
        <w:t>During this time, I worked on natural products and developed my current interest in antibiotics and antibiotic resistance</w:t>
      </w:r>
      <w:r w:rsidR="00A5222D">
        <w:rPr>
          <w:rStyle w:val="Strong"/>
          <w:b w:val="0"/>
        </w:rPr>
        <w:t>.</w:t>
      </w:r>
      <w:r w:rsidR="00C459D6">
        <w:rPr>
          <w:rStyle w:val="Strong"/>
          <w:b w:val="0"/>
        </w:rPr>
        <w:t xml:space="preserve"> My lab focuses on addressing the problem of antibiotic resistance from both the antibiotic discovery and antibiotic resistance sides of the problem. We are presently developing genomics and mass spectrometry methods to identify biosynthetic gene clusters that may </w:t>
      </w:r>
      <w:r w:rsidR="006569ED">
        <w:rPr>
          <w:rStyle w:val="Strong"/>
          <w:b w:val="0"/>
        </w:rPr>
        <w:t xml:space="preserve">harbor the information </w:t>
      </w:r>
      <w:r w:rsidR="00C459D6">
        <w:rPr>
          <w:rStyle w:val="Strong"/>
          <w:b w:val="0"/>
        </w:rPr>
        <w:t xml:space="preserve">for </w:t>
      </w:r>
      <w:r w:rsidR="006569ED">
        <w:rPr>
          <w:rStyle w:val="Strong"/>
          <w:b w:val="0"/>
        </w:rPr>
        <w:t>discovering new</w:t>
      </w:r>
      <w:r w:rsidR="00C459D6">
        <w:rPr>
          <w:rStyle w:val="Strong"/>
          <w:b w:val="0"/>
        </w:rPr>
        <w:t xml:space="preserve"> antibiotics. </w:t>
      </w:r>
      <w:r w:rsidR="006569ED">
        <w:rPr>
          <w:rStyle w:val="Strong"/>
          <w:b w:val="0"/>
        </w:rPr>
        <w:t>We are simultaneously researching clinical strategies for extending the lifetime of our existing antibiotics arsenal against pathogens. To date, our focus has been on elucidating the mechanisms that make some antibiotics durable to resistance evolution in specific pathogens. We are also working on finding novel approaches for treating patients that evade resistance, which is the focus of the current proposal.</w:t>
      </w:r>
      <w:r w:rsidR="007466E3">
        <w:rPr>
          <w:rStyle w:val="Strong"/>
          <w:b w:val="0"/>
        </w:rPr>
        <w:t xml:space="preserve"> I have been continuously funded by several grants from the NIAID since 2018.</w:t>
      </w:r>
    </w:p>
    <w:p w14:paraId="25436166" w14:textId="77777777" w:rsidR="00FB49C6" w:rsidRPr="000A35C4" w:rsidRDefault="00FB49C6" w:rsidP="002C51BC">
      <w:pPr>
        <w:pStyle w:val="DataField11pt-Single"/>
        <w:rPr>
          <w:rStyle w:val="Strong"/>
          <w:b w:val="0"/>
        </w:rPr>
      </w:pPr>
    </w:p>
    <w:p w14:paraId="2AB7A0F5" w14:textId="26B5048A" w:rsidR="002C51BC" w:rsidRPr="000A35C4" w:rsidRDefault="002C51BC" w:rsidP="002C51BC">
      <w:pPr>
        <w:pStyle w:val="DataField11pt-Single"/>
        <w:rPr>
          <w:rStyle w:val="Strong"/>
          <w:b w:val="0"/>
          <w:bCs w:val="0"/>
        </w:rPr>
      </w:pPr>
      <w:r w:rsidRPr="000A35C4">
        <w:rPr>
          <w:rStyle w:val="Strong"/>
        </w:rPr>
        <w:t>B.</w:t>
      </w:r>
      <w:r w:rsidRPr="000A35C4">
        <w:rPr>
          <w:rStyle w:val="Strong"/>
        </w:rPr>
        <w:tab/>
        <w:t>Positions and Honors</w:t>
      </w:r>
      <w:r w:rsidR="00FE10AD" w:rsidRPr="000A35C4">
        <w:rPr>
          <w:rStyle w:val="Strong"/>
        </w:rPr>
        <w:br/>
      </w:r>
    </w:p>
    <w:p w14:paraId="72E3439F" w14:textId="77777777" w:rsidR="009D444C" w:rsidRPr="000A35C4" w:rsidRDefault="009D444C" w:rsidP="009D444C">
      <w:pPr>
        <w:pStyle w:val="Caption"/>
        <w:ind w:left="90"/>
        <w:rPr>
          <w:rFonts w:ascii="Arial" w:hAnsi="Arial" w:cs="Arial"/>
          <w:sz w:val="22"/>
          <w:szCs w:val="22"/>
        </w:rPr>
      </w:pPr>
      <w:r w:rsidRPr="000A35C4">
        <w:rPr>
          <w:rFonts w:ascii="Arial" w:hAnsi="Arial" w:cs="Arial"/>
          <w:sz w:val="22"/>
          <w:szCs w:val="22"/>
          <w:u w:val="single"/>
        </w:rPr>
        <w:t>Professional Experience</w:t>
      </w:r>
      <w:r w:rsidRPr="000A35C4">
        <w:rPr>
          <w:rFonts w:ascii="Arial" w:hAnsi="Arial" w:cs="Arial"/>
          <w:sz w:val="22"/>
          <w:szCs w:val="22"/>
        </w:rPr>
        <w:t xml:space="preserve"> </w:t>
      </w:r>
    </w:p>
    <w:tbl>
      <w:tblPr>
        <w:tblW w:w="10890" w:type="dxa"/>
        <w:tblInd w:w="198" w:type="dxa"/>
        <w:tblLayout w:type="fixed"/>
        <w:tblLook w:val="0000" w:firstRow="0" w:lastRow="0" w:firstColumn="0" w:lastColumn="0" w:noHBand="0" w:noVBand="0"/>
      </w:tblPr>
      <w:tblGrid>
        <w:gridCol w:w="1620"/>
        <w:gridCol w:w="9270"/>
      </w:tblGrid>
      <w:tr w:rsidR="000A35C4" w:rsidRPr="000A35C4" w14:paraId="46F4E138" w14:textId="77777777" w:rsidTr="00030A23">
        <w:tc>
          <w:tcPr>
            <w:tcW w:w="1620" w:type="dxa"/>
            <w:tcBorders>
              <w:top w:val="nil"/>
              <w:left w:val="nil"/>
              <w:bottom w:val="nil"/>
              <w:right w:val="nil"/>
            </w:tcBorders>
          </w:tcPr>
          <w:p w14:paraId="39EA6119" w14:textId="62EFF815" w:rsidR="000A35C4" w:rsidRPr="000A35C4" w:rsidRDefault="000A35C4" w:rsidP="000A35C4">
            <w:pPr>
              <w:tabs>
                <w:tab w:val="left" w:pos="1152"/>
              </w:tabs>
              <w:ind w:left="162"/>
              <w:rPr>
                <w:rFonts w:cs="Arial"/>
              </w:rPr>
            </w:pPr>
            <w:r w:rsidRPr="000A35C4">
              <w:rPr>
                <w:rFonts w:cs="Arial"/>
              </w:rPr>
              <w:t>2017 -</w:t>
            </w:r>
          </w:p>
        </w:tc>
        <w:tc>
          <w:tcPr>
            <w:tcW w:w="9270" w:type="dxa"/>
            <w:tcBorders>
              <w:top w:val="nil"/>
              <w:left w:val="nil"/>
              <w:bottom w:val="nil"/>
              <w:right w:val="nil"/>
            </w:tcBorders>
          </w:tcPr>
          <w:p w14:paraId="6F9BCC2E" w14:textId="2B0D27A7" w:rsidR="000A35C4" w:rsidRPr="000A35C4" w:rsidRDefault="000A35C4" w:rsidP="000A35C4">
            <w:pPr>
              <w:tabs>
                <w:tab w:val="left" w:pos="1152"/>
              </w:tabs>
              <w:ind w:left="162"/>
              <w:rPr>
                <w:rFonts w:cs="Arial"/>
              </w:rPr>
            </w:pPr>
            <w:r w:rsidRPr="000A35C4">
              <w:rPr>
                <w:rFonts w:cs="Arial"/>
              </w:rPr>
              <w:t>Assistant Professor, University of Pittsburgh</w:t>
            </w:r>
          </w:p>
        </w:tc>
      </w:tr>
      <w:tr w:rsidR="000A35C4" w:rsidRPr="000A35C4" w14:paraId="60BBA5F5" w14:textId="77777777" w:rsidTr="00030A23">
        <w:tc>
          <w:tcPr>
            <w:tcW w:w="1620" w:type="dxa"/>
            <w:tcBorders>
              <w:top w:val="nil"/>
              <w:left w:val="nil"/>
              <w:bottom w:val="nil"/>
              <w:right w:val="nil"/>
            </w:tcBorders>
          </w:tcPr>
          <w:p w14:paraId="13A61204" w14:textId="159A5DA9" w:rsidR="000A35C4" w:rsidRPr="000A35C4" w:rsidRDefault="000A35C4" w:rsidP="000A35C4">
            <w:pPr>
              <w:tabs>
                <w:tab w:val="left" w:pos="1152"/>
              </w:tabs>
              <w:ind w:left="162"/>
              <w:rPr>
                <w:rFonts w:cs="Arial"/>
                <w:szCs w:val="22"/>
              </w:rPr>
            </w:pPr>
            <w:r w:rsidRPr="000A35C4">
              <w:rPr>
                <w:rFonts w:cs="Arial"/>
              </w:rPr>
              <w:t>2015 - 2016</w:t>
            </w:r>
          </w:p>
        </w:tc>
        <w:tc>
          <w:tcPr>
            <w:tcW w:w="9270" w:type="dxa"/>
            <w:tcBorders>
              <w:top w:val="nil"/>
              <w:left w:val="nil"/>
              <w:bottom w:val="nil"/>
              <w:right w:val="nil"/>
            </w:tcBorders>
          </w:tcPr>
          <w:p w14:paraId="650DE29E" w14:textId="7059262B" w:rsidR="000A35C4" w:rsidRPr="000A35C4" w:rsidRDefault="000A35C4" w:rsidP="000A35C4">
            <w:pPr>
              <w:tabs>
                <w:tab w:val="left" w:pos="1152"/>
              </w:tabs>
              <w:ind w:left="162"/>
              <w:rPr>
                <w:rFonts w:cs="Arial"/>
                <w:szCs w:val="22"/>
              </w:rPr>
            </w:pPr>
            <w:r w:rsidRPr="000A35C4">
              <w:rPr>
                <w:rFonts w:cs="Arial"/>
              </w:rPr>
              <w:t>Lecturer, Computer Sciences, University of Wisconsin-Madison</w:t>
            </w:r>
          </w:p>
        </w:tc>
      </w:tr>
      <w:tr w:rsidR="000A35C4" w:rsidRPr="000A35C4" w14:paraId="2A3A0AD3" w14:textId="77777777" w:rsidTr="00030A23">
        <w:tc>
          <w:tcPr>
            <w:tcW w:w="1620" w:type="dxa"/>
            <w:tcBorders>
              <w:top w:val="nil"/>
              <w:left w:val="nil"/>
              <w:bottom w:val="nil"/>
              <w:right w:val="nil"/>
            </w:tcBorders>
          </w:tcPr>
          <w:p w14:paraId="37177CD2" w14:textId="77777777" w:rsidR="000A35C4" w:rsidRPr="000A35C4" w:rsidRDefault="000A35C4" w:rsidP="000A35C4">
            <w:pPr>
              <w:tabs>
                <w:tab w:val="left" w:pos="1152"/>
              </w:tabs>
              <w:ind w:left="162"/>
              <w:rPr>
                <w:rFonts w:cs="Arial"/>
              </w:rPr>
            </w:pPr>
            <w:r w:rsidRPr="000A35C4">
              <w:rPr>
                <w:rFonts w:cs="Arial"/>
              </w:rPr>
              <w:t>2010 - 2016</w:t>
            </w:r>
          </w:p>
        </w:tc>
        <w:tc>
          <w:tcPr>
            <w:tcW w:w="9270" w:type="dxa"/>
            <w:tcBorders>
              <w:top w:val="nil"/>
              <w:left w:val="nil"/>
              <w:bottom w:val="nil"/>
              <w:right w:val="nil"/>
            </w:tcBorders>
          </w:tcPr>
          <w:p w14:paraId="1B1C5D75" w14:textId="77777777" w:rsidR="000A35C4" w:rsidRPr="000A35C4" w:rsidRDefault="000A35C4" w:rsidP="000A35C4">
            <w:pPr>
              <w:tabs>
                <w:tab w:val="left" w:pos="1152"/>
              </w:tabs>
              <w:ind w:left="162"/>
              <w:rPr>
                <w:rFonts w:cs="Arial"/>
              </w:rPr>
            </w:pPr>
            <w:r w:rsidRPr="000A35C4">
              <w:rPr>
                <w:rFonts w:cs="Arial"/>
              </w:rPr>
              <w:t>Research Assistant, University of Wisconsin-Madison</w:t>
            </w:r>
          </w:p>
        </w:tc>
      </w:tr>
      <w:tr w:rsidR="000A35C4" w:rsidRPr="000A35C4" w14:paraId="5D54DC51" w14:textId="77777777" w:rsidTr="00030A23">
        <w:tc>
          <w:tcPr>
            <w:tcW w:w="1620" w:type="dxa"/>
            <w:tcBorders>
              <w:top w:val="nil"/>
              <w:left w:val="nil"/>
              <w:bottom w:val="nil"/>
              <w:right w:val="nil"/>
            </w:tcBorders>
          </w:tcPr>
          <w:p w14:paraId="0FBE18C5" w14:textId="33A67E05" w:rsidR="000A35C4" w:rsidRPr="000A35C4" w:rsidRDefault="000A35C4" w:rsidP="000A35C4">
            <w:pPr>
              <w:tabs>
                <w:tab w:val="left" w:pos="1152"/>
              </w:tabs>
              <w:ind w:left="162"/>
              <w:rPr>
                <w:rFonts w:cs="Arial"/>
              </w:rPr>
            </w:pPr>
            <w:r w:rsidRPr="000A35C4">
              <w:rPr>
                <w:rFonts w:cs="Arial"/>
              </w:rPr>
              <w:t>2007 - 2008</w:t>
            </w:r>
          </w:p>
        </w:tc>
        <w:tc>
          <w:tcPr>
            <w:tcW w:w="9270" w:type="dxa"/>
            <w:tcBorders>
              <w:top w:val="nil"/>
              <w:left w:val="nil"/>
              <w:bottom w:val="nil"/>
              <w:right w:val="nil"/>
            </w:tcBorders>
          </w:tcPr>
          <w:p w14:paraId="0AC9086C" w14:textId="6F2C7A75" w:rsidR="000A35C4" w:rsidRPr="000A35C4" w:rsidRDefault="000A35C4" w:rsidP="000A35C4">
            <w:pPr>
              <w:tabs>
                <w:tab w:val="left" w:pos="1152"/>
              </w:tabs>
              <w:ind w:left="162"/>
              <w:rPr>
                <w:rFonts w:cs="Arial"/>
              </w:rPr>
            </w:pPr>
            <w:r w:rsidRPr="000A35C4">
              <w:rPr>
                <w:rFonts w:cs="Arial"/>
              </w:rPr>
              <w:t>Reliability Engineer, Reliability Engineering Department, Apple, Inc.</w:t>
            </w:r>
          </w:p>
        </w:tc>
      </w:tr>
      <w:tr w:rsidR="000A35C4" w:rsidRPr="000A35C4" w14:paraId="0A4300CF" w14:textId="77777777" w:rsidTr="00030A23">
        <w:tc>
          <w:tcPr>
            <w:tcW w:w="1620" w:type="dxa"/>
            <w:tcBorders>
              <w:top w:val="nil"/>
              <w:left w:val="nil"/>
              <w:bottom w:val="nil"/>
              <w:right w:val="nil"/>
            </w:tcBorders>
          </w:tcPr>
          <w:p w14:paraId="1B94FB66" w14:textId="3CDBEC62" w:rsidR="000A35C4" w:rsidRPr="000A35C4" w:rsidRDefault="000A35C4" w:rsidP="000A35C4">
            <w:pPr>
              <w:tabs>
                <w:tab w:val="left" w:pos="1152"/>
              </w:tabs>
              <w:ind w:left="162"/>
              <w:rPr>
                <w:rFonts w:cs="Arial"/>
              </w:rPr>
            </w:pPr>
            <w:r w:rsidRPr="000A35C4">
              <w:rPr>
                <w:rFonts w:cs="Arial"/>
              </w:rPr>
              <w:t>2006</w:t>
            </w:r>
          </w:p>
        </w:tc>
        <w:tc>
          <w:tcPr>
            <w:tcW w:w="9270" w:type="dxa"/>
            <w:tcBorders>
              <w:top w:val="nil"/>
              <w:left w:val="nil"/>
              <w:bottom w:val="nil"/>
              <w:right w:val="nil"/>
            </w:tcBorders>
          </w:tcPr>
          <w:p w14:paraId="3D7D4814" w14:textId="42FB41A1" w:rsidR="000A35C4" w:rsidRPr="000A35C4" w:rsidRDefault="000A35C4" w:rsidP="000A35C4">
            <w:pPr>
              <w:tabs>
                <w:tab w:val="left" w:pos="1152"/>
              </w:tabs>
              <w:ind w:left="162"/>
              <w:rPr>
                <w:rFonts w:cs="Arial"/>
              </w:rPr>
            </w:pPr>
            <w:r w:rsidRPr="000A35C4">
              <w:rPr>
                <w:rFonts w:cs="Arial"/>
              </w:rPr>
              <w:t>Intern, Reliability Engineering Department, Apple, Inc.</w:t>
            </w:r>
          </w:p>
        </w:tc>
      </w:tr>
    </w:tbl>
    <w:p w14:paraId="4E6033BE" w14:textId="47E0DBBA" w:rsidR="002C51BC" w:rsidRDefault="002C51BC" w:rsidP="002C51BC">
      <w:pPr>
        <w:pStyle w:val="DataField11pt-Single"/>
        <w:rPr>
          <w:rStyle w:val="Strong"/>
        </w:rPr>
      </w:pPr>
    </w:p>
    <w:p w14:paraId="185A3AED" w14:textId="260177FF" w:rsidR="000A35C4" w:rsidRPr="000A35C4" w:rsidRDefault="000A35C4" w:rsidP="002C51BC">
      <w:pPr>
        <w:pStyle w:val="DataField11pt-Single"/>
        <w:rPr>
          <w:rStyle w:val="Strong"/>
        </w:rPr>
      </w:pPr>
    </w:p>
    <w:p w14:paraId="4E6B10C4" w14:textId="05747925" w:rsidR="00C213C8" w:rsidRPr="00C213C8" w:rsidRDefault="002C51BC" w:rsidP="00C213C8">
      <w:pPr>
        <w:pStyle w:val="DataField11pt-Single"/>
        <w:rPr>
          <w:b/>
          <w:bCs/>
        </w:rPr>
      </w:pPr>
      <w:r w:rsidRPr="000A35C4">
        <w:rPr>
          <w:rStyle w:val="Strong"/>
        </w:rPr>
        <w:t>C.</w:t>
      </w:r>
      <w:r w:rsidRPr="000A35C4">
        <w:rPr>
          <w:rStyle w:val="Strong"/>
        </w:rPr>
        <w:tab/>
        <w:t>Contributions to Science</w:t>
      </w:r>
      <w:r w:rsidR="00FE10AD">
        <w:rPr>
          <w:rStyle w:val="Strong"/>
        </w:rPr>
        <w:br/>
      </w:r>
    </w:p>
    <w:p w14:paraId="4D1381A3" w14:textId="77777777" w:rsidR="00C213C8" w:rsidRPr="0017469A" w:rsidRDefault="00C213C8" w:rsidP="00C213C8">
      <w:pPr>
        <w:pStyle w:val="Default"/>
        <w:numPr>
          <w:ilvl w:val="0"/>
          <w:numId w:val="20"/>
        </w:numPr>
        <w:rPr>
          <w:sz w:val="22"/>
          <w:szCs w:val="22"/>
        </w:rPr>
      </w:pPr>
      <w:r>
        <w:rPr>
          <w:b/>
          <w:sz w:val="22"/>
          <w:szCs w:val="22"/>
        </w:rPr>
        <w:t>Development of software for large-scale biological sequence analysis</w:t>
      </w:r>
      <w:r w:rsidRPr="0017469A">
        <w:rPr>
          <w:sz w:val="22"/>
          <w:szCs w:val="22"/>
        </w:rPr>
        <w:t xml:space="preserve">. </w:t>
      </w:r>
      <w:r>
        <w:rPr>
          <w:sz w:val="22"/>
          <w:szCs w:val="22"/>
        </w:rPr>
        <w:t xml:space="preserve">The amount of biological sequence data is currently growing at a remarkable pace, necessitating tools that can handle and </w:t>
      </w:r>
      <w:r>
        <w:rPr>
          <w:sz w:val="22"/>
          <w:szCs w:val="22"/>
        </w:rPr>
        <w:lastRenderedPageBreak/>
        <w:t>derive insights from copious sequences. Dr. Wright has developed a software, named DECIPHER, that is used by thousands of researchers around the world to maintain, analyze, and manipulate their biological sequences. DECIPHER is based on a scalable database foundation that enables large-scale analyses of sequences, such as comparative genomics. This software continues to be actively developed by Dr. Wright and others in his lab.</w:t>
      </w:r>
    </w:p>
    <w:p w14:paraId="006138BD" w14:textId="77777777" w:rsidR="00C213C8" w:rsidRPr="00F9111D" w:rsidRDefault="00C213C8" w:rsidP="00C213C8">
      <w:pPr>
        <w:pStyle w:val="ListParagraph"/>
        <w:numPr>
          <w:ilvl w:val="0"/>
          <w:numId w:val="22"/>
        </w:numPr>
        <w:autoSpaceDE/>
        <w:autoSpaceDN/>
        <w:spacing w:before="120"/>
        <w:contextualSpacing w:val="0"/>
        <w:jc w:val="both"/>
        <w:rPr>
          <w:bCs/>
        </w:rPr>
      </w:pPr>
      <w:r w:rsidRPr="00F9111D">
        <w:rPr>
          <w:b/>
          <w:bCs/>
        </w:rPr>
        <w:t xml:space="preserve"> </w:t>
      </w:r>
      <w:r w:rsidRPr="00B6408C">
        <w:rPr>
          <w:bCs/>
        </w:rPr>
        <w:t xml:space="preserve">Wright, E. (2016). Using DECIPHER v2.0 to Analyze Big Biological Sequence Data in </w:t>
      </w:r>
      <w:r>
        <w:rPr>
          <w:bCs/>
        </w:rPr>
        <w:t>R. The R Journal, 8(1), 352–359</w:t>
      </w:r>
      <w:r w:rsidRPr="000A73C8">
        <w:rPr>
          <w:bCs/>
        </w:rPr>
        <w:t>.</w:t>
      </w:r>
      <w:r w:rsidRPr="00636E8E">
        <w:rPr>
          <w:bCs/>
        </w:rPr>
        <w:t xml:space="preserve"> </w:t>
      </w:r>
    </w:p>
    <w:p w14:paraId="2CCA5B11" w14:textId="77777777" w:rsidR="00C213C8" w:rsidRDefault="00C213C8" w:rsidP="00C213C8">
      <w:pPr>
        <w:pStyle w:val="ListParagraph"/>
        <w:numPr>
          <w:ilvl w:val="0"/>
          <w:numId w:val="22"/>
        </w:numPr>
        <w:autoSpaceDE/>
        <w:autoSpaceDN/>
        <w:spacing w:before="120"/>
        <w:contextualSpacing w:val="0"/>
        <w:rPr>
          <w:bCs/>
        </w:rPr>
      </w:pPr>
      <w:r>
        <w:rPr>
          <w:bCs/>
        </w:rPr>
        <w:t xml:space="preserve">Wright, E. S. (2020). </w:t>
      </w:r>
      <w:proofErr w:type="spellStart"/>
      <w:r w:rsidRPr="0063796C">
        <w:rPr>
          <w:bCs/>
        </w:rPr>
        <w:t>RNAconTest</w:t>
      </w:r>
      <w:proofErr w:type="spellEnd"/>
      <w:r w:rsidRPr="0063796C">
        <w:rPr>
          <w:bCs/>
        </w:rPr>
        <w:t>: Comparing tools for non-coding RNA multiple sequence alignment based on structural consistency.</w:t>
      </w:r>
      <w:r>
        <w:rPr>
          <w:bCs/>
        </w:rPr>
        <w:t xml:space="preserve"> RNA, </w:t>
      </w:r>
      <w:r w:rsidRPr="0002031B">
        <w:rPr>
          <w:bCs/>
        </w:rPr>
        <w:t>26:531-40.</w:t>
      </w:r>
    </w:p>
    <w:p w14:paraId="6A145BB0" w14:textId="77777777" w:rsidR="00C213C8" w:rsidRDefault="00C213C8" w:rsidP="00C213C8">
      <w:pPr>
        <w:pStyle w:val="ListParagraph"/>
        <w:numPr>
          <w:ilvl w:val="0"/>
          <w:numId w:val="22"/>
        </w:numPr>
        <w:autoSpaceDE/>
        <w:autoSpaceDN/>
        <w:spacing w:before="120"/>
        <w:contextualSpacing w:val="0"/>
        <w:rPr>
          <w:bCs/>
        </w:rPr>
      </w:pPr>
      <w:r w:rsidRPr="0002031B">
        <w:rPr>
          <w:bCs/>
        </w:rPr>
        <w:t>Cooley</w:t>
      </w:r>
      <w:r>
        <w:rPr>
          <w:bCs/>
        </w:rPr>
        <w:t>,</w:t>
      </w:r>
      <w:r w:rsidRPr="0002031B">
        <w:rPr>
          <w:bCs/>
        </w:rPr>
        <w:t xml:space="preserve"> N</w:t>
      </w:r>
      <w:r>
        <w:rPr>
          <w:bCs/>
        </w:rPr>
        <w:t>. &amp;</w:t>
      </w:r>
      <w:r w:rsidRPr="0002031B">
        <w:rPr>
          <w:bCs/>
        </w:rPr>
        <w:t xml:space="preserve"> Wright</w:t>
      </w:r>
      <w:r>
        <w:rPr>
          <w:bCs/>
        </w:rPr>
        <w:t>,</w:t>
      </w:r>
      <w:r w:rsidRPr="0002031B">
        <w:rPr>
          <w:bCs/>
        </w:rPr>
        <w:t xml:space="preserve"> E.</w:t>
      </w:r>
      <w:r>
        <w:rPr>
          <w:bCs/>
        </w:rPr>
        <w:t xml:space="preserve"> (2021).</w:t>
      </w:r>
      <w:r w:rsidRPr="0002031B">
        <w:rPr>
          <w:bCs/>
        </w:rPr>
        <w:t xml:space="preserve"> Accurate annotation of protein coding sequences with IDTAXA. NAR </w:t>
      </w:r>
      <w:proofErr w:type="spellStart"/>
      <w:r w:rsidRPr="0002031B">
        <w:rPr>
          <w:bCs/>
        </w:rPr>
        <w:t>Genom</w:t>
      </w:r>
      <w:proofErr w:type="spellEnd"/>
      <w:r w:rsidRPr="0002031B">
        <w:rPr>
          <w:bCs/>
        </w:rPr>
        <w:t xml:space="preserve"> </w:t>
      </w:r>
      <w:proofErr w:type="spellStart"/>
      <w:r w:rsidRPr="0002031B">
        <w:rPr>
          <w:bCs/>
        </w:rPr>
        <w:t>Bioinform</w:t>
      </w:r>
      <w:proofErr w:type="spellEnd"/>
      <w:r w:rsidRPr="0002031B">
        <w:rPr>
          <w:bCs/>
        </w:rPr>
        <w:t>.</w:t>
      </w:r>
      <w:r>
        <w:rPr>
          <w:bCs/>
        </w:rPr>
        <w:t xml:space="preserve">, </w:t>
      </w:r>
      <w:r w:rsidRPr="0002031B">
        <w:rPr>
          <w:bCs/>
        </w:rPr>
        <w:t>3(3):lqab080.</w:t>
      </w:r>
    </w:p>
    <w:p w14:paraId="2A0E663A" w14:textId="77777777" w:rsidR="00C213C8" w:rsidRPr="00636E8E" w:rsidRDefault="00C213C8" w:rsidP="00C213C8">
      <w:pPr>
        <w:pStyle w:val="ListParagraph"/>
        <w:numPr>
          <w:ilvl w:val="0"/>
          <w:numId w:val="22"/>
        </w:numPr>
        <w:autoSpaceDE/>
        <w:autoSpaceDN/>
        <w:spacing w:before="120"/>
        <w:contextualSpacing w:val="0"/>
        <w:rPr>
          <w:bCs/>
        </w:rPr>
      </w:pPr>
      <w:r>
        <w:rPr>
          <w:bCs/>
        </w:rPr>
        <w:t xml:space="preserve">Wright, E. (2022). </w:t>
      </w:r>
      <w:proofErr w:type="spellStart"/>
      <w:r w:rsidRPr="00FB49C6">
        <w:rPr>
          <w:bCs/>
        </w:rPr>
        <w:t>FindNonCoding</w:t>
      </w:r>
      <w:proofErr w:type="spellEnd"/>
      <w:r w:rsidRPr="00FB49C6">
        <w:rPr>
          <w:bCs/>
        </w:rPr>
        <w:t>: rapid and simple detection of non-coding RNAs in genomes</w:t>
      </w:r>
      <w:r>
        <w:rPr>
          <w:bCs/>
        </w:rPr>
        <w:t>. Bioinformatics, 38(3):841-843.</w:t>
      </w:r>
    </w:p>
    <w:p w14:paraId="13C8E693" w14:textId="77777777" w:rsidR="00C213C8" w:rsidRPr="00717FB9" w:rsidRDefault="00C213C8" w:rsidP="00C213C8">
      <w:pPr>
        <w:autoSpaceDE/>
        <w:autoSpaceDN/>
        <w:spacing w:before="120"/>
        <w:rPr>
          <w:rStyle w:val="Strong"/>
        </w:rPr>
      </w:pPr>
    </w:p>
    <w:p w14:paraId="1D425492" w14:textId="77777777" w:rsidR="00C213C8" w:rsidRPr="0017469A" w:rsidRDefault="00C213C8" w:rsidP="00C213C8">
      <w:pPr>
        <w:pStyle w:val="Default"/>
        <w:numPr>
          <w:ilvl w:val="0"/>
          <w:numId w:val="20"/>
        </w:numPr>
        <w:rPr>
          <w:sz w:val="22"/>
          <w:szCs w:val="22"/>
        </w:rPr>
      </w:pPr>
      <w:r>
        <w:rPr>
          <w:b/>
          <w:sz w:val="22"/>
          <w:szCs w:val="22"/>
        </w:rPr>
        <w:t>Development of tools for microbiome analyses</w:t>
      </w:r>
      <w:r w:rsidRPr="0017469A">
        <w:rPr>
          <w:sz w:val="22"/>
          <w:szCs w:val="22"/>
        </w:rPr>
        <w:t xml:space="preserve">. </w:t>
      </w:r>
      <w:r>
        <w:rPr>
          <w:sz w:val="22"/>
          <w:szCs w:val="22"/>
        </w:rPr>
        <w:t>Microbiome studies are increasingly common as we begin to better understand the importance and role of the microbiome in human and ecosystem health. Dr. Wright has created a number of tools that are regularly used by the microbiology community to design and analyze microbiome experiments. In particular, his previous research has focused on the development of programs for oligonucleotide design, taxonomic classification, sequence alignment, and comparative genomics.</w:t>
      </w:r>
    </w:p>
    <w:p w14:paraId="14B31D3D" w14:textId="77777777" w:rsidR="00C213C8" w:rsidRPr="00F9111D" w:rsidRDefault="00C213C8" w:rsidP="00C213C8">
      <w:pPr>
        <w:pStyle w:val="ListParagraph"/>
        <w:numPr>
          <w:ilvl w:val="0"/>
          <w:numId w:val="23"/>
        </w:numPr>
        <w:autoSpaceDE/>
        <w:autoSpaceDN/>
        <w:spacing w:before="120"/>
        <w:ind w:left="1080"/>
        <w:contextualSpacing w:val="0"/>
        <w:rPr>
          <w:b/>
          <w:bCs/>
        </w:rPr>
      </w:pPr>
      <w:r w:rsidRPr="00F32F3D">
        <w:rPr>
          <w:bCs/>
        </w:rPr>
        <w:t xml:space="preserve">Wright, E., </w:t>
      </w:r>
      <w:r>
        <w:rPr>
          <w:bCs/>
        </w:rPr>
        <w:t>et al</w:t>
      </w:r>
      <w:r w:rsidRPr="00F32F3D">
        <w:rPr>
          <w:bCs/>
        </w:rPr>
        <w:t>. (2014). Exploiting extension bias in polymerase chain reaction to improve primer specificity in ensembles of nearly identical DNA templates. Environmental Microbiology, 16(5), 1354–1365.</w:t>
      </w:r>
    </w:p>
    <w:p w14:paraId="3675697A" w14:textId="77777777" w:rsidR="00C213C8" w:rsidRDefault="00C213C8" w:rsidP="00C213C8">
      <w:pPr>
        <w:pStyle w:val="ListParagraph"/>
        <w:numPr>
          <w:ilvl w:val="0"/>
          <w:numId w:val="23"/>
        </w:numPr>
        <w:autoSpaceDE/>
        <w:autoSpaceDN/>
        <w:spacing w:before="120"/>
        <w:ind w:left="1080"/>
        <w:contextualSpacing w:val="0"/>
        <w:rPr>
          <w:bCs/>
        </w:rPr>
      </w:pPr>
      <w:r w:rsidRPr="00F32F3D">
        <w:rPr>
          <w:bCs/>
        </w:rPr>
        <w:t xml:space="preserve">Wright, E., </w:t>
      </w:r>
      <w:r>
        <w:rPr>
          <w:bCs/>
        </w:rPr>
        <w:t>et al</w:t>
      </w:r>
      <w:r w:rsidRPr="00F32F3D">
        <w:rPr>
          <w:bCs/>
        </w:rPr>
        <w:t xml:space="preserve">. (2014). Automated Design of Probes for rRNA-Targeted Fluorescence </w:t>
      </w:r>
      <w:r w:rsidRPr="00F9111D">
        <w:rPr>
          <w:bCs/>
          <w:i/>
        </w:rPr>
        <w:t>In Situ</w:t>
      </w:r>
      <w:r w:rsidRPr="00F32F3D">
        <w:rPr>
          <w:bCs/>
        </w:rPr>
        <w:t xml:space="preserve"> Hybridization Reveals the Advantages of Using Dual Probes for Accurate Identification. Applied and Environmental Microbiology, 80(16), 5124–5133. </w:t>
      </w:r>
      <w:r w:rsidRPr="0063796C">
        <w:rPr>
          <w:bCs/>
        </w:rPr>
        <w:t>http://doi.org/10.1128/AEM.01685-14</w:t>
      </w:r>
    </w:p>
    <w:p w14:paraId="515C4FA0" w14:textId="77777777" w:rsidR="00C213C8" w:rsidRPr="0002031B" w:rsidRDefault="00C213C8" w:rsidP="00C213C8">
      <w:pPr>
        <w:pStyle w:val="ListParagraph"/>
        <w:numPr>
          <w:ilvl w:val="0"/>
          <w:numId w:val="23"/>
        </w:numPr>
        <w:autoSpaceDE/>
        <w:autoSpaceDN/>
        <w:spacing w:before="120"/>
        <w:ind w:left="1080"/>
        <w:contextualSpacing w:val="0"/>
        <w:rPr>
          <w:bCs/>
        </w:rPr>
      </w:pPr>
      <w:r w:rsidRPr="00636E8E">
        <w:rPr>
          <w:bCs/>
        </w:rPr>
        <w:t>Murali</w:t>
      </w:r>
      <w:r>
        <w:rPr>
          <w:bCs/>
        </w:rPr>
        <w:t xml:space="preserve">, </w:t>
      </w:r>
      <w:r w:rsidRPr="00636E8E">
        <w:rPr>
          <w:bCs/>
        </w:rPr>
        <w:t>A</w:t>
      </w:r>
      <w:r>
        <w:rPr>
          <w:bCs/>
        </w:rPr>
        <w:t>.</w:t>
      </w:r>
      <w:r w:rsidRPr="00636E8E">
        <w:rPr>
          <w:bCs/>
        </w:rPr>
        <w:t>, Bhargava</w:t>
      </w:r>
      <w:r>
        <w:rPr>
          <w:bCs/>
        </w:rPr>
        <w:t>,</w:t>
      </w:r>
      <w:r w:rsidRPr="00636E8E">
        <w:rPr>
          <w:bCs/>
        </w:rPr>
        <w:t xml:space="preserve"> A</w:t>
      </w:r>
      <w:r>
        <w:rPr>
          <w:bCs/>
        </w:rPr>
        <w:t>.</w:t>
      </w:r>
      <w:r w:rsidRPr="00636E8E">
        <w:rPr>
          <w:bCs/>
        </w:rPr>
        <w:t>, Wright</w:t>
      </w:r>
      <w:r>
        <w:rPr>
          <w:bCs/>
        </w:rPr>
        <w:t>,</w:t>
      </w:r>
      <w:r w:rsidRPr="00636E8E">
        <w:rPr>
          <w:bCs/>
        </w:rPr>
        <w:t xml:space="preserve"> E</w:t>
      </w:r>
      <w:r>
        <w:rPr>
          <w:bCs/>
        </w:rPr>
        <w:t>. (2018).</w:t>
      </w:r>
      <w:r w:rsidRPr="00636E8E">
        <w:rPr>
          <w:bCs/>
        </w:rPr>
        <w:t xml:space="preserve"> IDTAXA: a novel approach for </w:t>
      </w:r>
      <w:r w:rsidRPr="0002031B">
        <w:rPr>
          <w:bCs/>
        </w:rPr>
        <w:t>accurate taxonomic classification of microbiome sequences. Microbiome, 6(1):140.</w:t>
      </w:r>
    </w:p>
    <w:p w14:paraId="5D6792F3" w14:textId="77777777" w:rsidR="00C213C8" w:rsidRPr="00B22CD4" w:rsidRDefault="00C213C8" w:rsidP="00C213C8">
      <w:pPr>
        <w:pStyle w:val="ListParagraph"/>
        <w:numPr>
          <w:ilvl w:val="0"/>
          <w:numId w:val="23"/>
        </w:numPr>
        <w:autoSpaceDE/>
        <w:autoSpaceDN/>
        <w:spacing w:before="120"/>
        <w:ind w:left="1080"/>
        <w:contextualSpacing w:val="0"/>
        <w:rPr>
          <w:rStyle w:val="Strong"/>
        </w:rPr>
      </w:pPr>
      <w:r w:rsidRPr="0002031B">
        <w:rPr>
          <w:rStyle w:val="Strong"/>
          <w:b w:val="0"/>
        </w:rPr>
        <w:t>Birer-Williams</w:t>
      </w:r>
      <w:r>
        <w:rPr>
          <w:rStyle w:val="Strong"/>
          <w:b w:val="0"/>
        </w:rPr>
        <w:t>,</w:t>
      </w:r>
      <w:r w:rsidRPr="0002031B">
        <w:rPr>
          <w:rStyle w:val="Strong"/>
          <w:b w:val="0"/>
        </w:rPr>
        <w:t xml:space="preserve"> C., Chu</w:t>
      </w:r>
      <w:r>
        <w:rPr>
          <w:rStyle w:val="Strong"/>
          <w:b w:val="0"/>
        </w:rPr>
        <w:t>,</w:t>
      </w:r>
      <w:r w:rsidRPr="0002031B">
        <w:rPr>
          <w:rStyle w:val="Strong"/>
          <w:b w:val="0"/>
        </w:rPr>
        <w:t xml:space="preserve"> R</w:t>
      </w:r>
      <w:r>
        <w:rPr>
          <w:rStyle w:val="Strong"/>
          <w:b w:val="0"/>
        </w:rPr>
        <w:t>.</w:t>
      </w:r>
      <w:r w:rsidRPr="0002031B">
        <w:rPr>
          <w:rStyle w:val="Strong"/>
          <w:b w:val="0"/>
        </w:rPr>
        <w:t>, Anderton</w:t>
      </w:r>
      <w:r>
        <w:rPr>
          <w:rStyle w:val="Strong"/>
          <w:b w:val="0"/>
        </w:rPr>
        <w:t>,</w:t>
      </w:r>
      <w:r w:rsidRPr="0002031B">
        <w:rPr>
          <w:rStyle w:val="Strong"/>
          <w:b w:val="0"/>
        </w:rPr>
        <w:t xml:space="preserve"> C</w:t>
      </w:r>
      <w:r>
        <w:rPr>
          <w:rStyle w:val="Strong"/>
          <w:b w:val="0"/>
        </w:rPr>
        <w:t>.</w:t>
      </w:r>
      <w:r w:rsidRPr="0002031B">
        <w:rPr>
          <w:rStyle w:val="Strong"/>
          <w:b w:val="0"/>
        </w:rPr>
        <w:t>, Wright</w:t>
      </w:r>
      <w:r>
        <w:rPr>
          <w:rStyle w:val="Strong"/>
          <w:b w:val="0"/>
        </w:rPr>
        <w:t>,</w:t>
      </w:r>
      <w:r w:rsidRPr="0002031B">
        <w:rPr>
          <w:rStyle w:val="Strong"/>
          <w:b w:val="0"/>
        </w:rPr>
        <w:t xml:space="preserve"> E</w:t>
      </w:r>
      <w:r>
        <w:rPr>
          <w:rStyle w:val="Strong"/>
          <w:b w:val="0"/>
        </w:rPr>
        <w:t>.</w:t>
      </w:r>
      <w:r w:rsidRPr="0002031B">
        <w:rPr>
          <w:rStyle w:val="Strong"/>
          <w:b w:val="0"/>
        </w:rPr>
        <w:t>.</w:t>
      </w:r>
      <w:r>
        <w:rPr>
          <w:rStyle w:val="Strong"/>
          <w:b w:val="0"/>
        </w:rPr>
        <w:t xml:space="preserve"> (2021).</w:t>
      </w:r>
      <w:r w:rsidRPr="0002031B">
        <w:rPr>
          <w:rStyle w:val="Strong"/>
          <w:b w:val="0"/>
        </w:rPr>
        <w:t xml:space="preserve"> SubTap, a Versatile 3D Printed Platform for Eavesdropping on Extracellular Interactions. </w:t>
      </w:r>
      <w:proofErr w:type="spellStart"/>
      <w:r w:rsidRPr="0002031B">
        <w:rPr>
          <w:rStyle w:val="Strong"/>
          <w:b w:val="0"/>
        </w:rPr>
        <w:t>mSystems</w:t>
      </w:r>
      <w:proofErr w:type="spellEnd"/>
      <w:r w:rsidRPr="0002031B">
        <w:rPr>
          <w:rStyle w:val="Strong"/>
          <w:b w:val="0"/>
        </w:rPr>
        <w:t>. 6(4):e0090221.</w:t>
      </w:r>
    </w:p>
    <w:p w14:paraId="49FB72AC" w14:textId="77777777" w:rsidR="00C213C8" w:rsidRPr="00C213C8" w:rsidRDefault="00C213C8" w:rsidP="00C213C8">
      <w:pPr>
        <w:pStyle w:val="Default"/>
        <w:ind w:left="720"/>
        <w:rPr>
          <w:sz w:val="22"/>
          <w:szCs w:val="22"/>
        </w:rPr>
      </w:pPr>
    </w:p>
    <w:p w14:paraId="0E1FB135" w14:textId="58FF31B2" w:rsidR="009D444C" w:rsidRPr="0017469A" w:rsidRDefault="00F0551E" w:rsidP="009D444C">
      <w:pPr>
        <w:pStyle w:val="Default"/>
        <w:numPr>
          <w:ilvl w:val="0"/>
          <w:numId w:val="20"/>
        </w:numPr>
        <w:rPr>
          <w:sz w:val="22"/>
          <w:szCs w:val="22"/>
        </w:rPr>
      </w:pPr>
      <w:r>
        <w:rPr>
          <w:b/>
          <w:sz w:val="22"/>
          <w:szCs w:val="22"/>
        </w:rPr>
        <w:t>Optimizing</w:t>
      </w:r>
      <w:r w:rsidR="00B22CD4">
        <w:rPr>
          <w:b/>
          <w:sz w:val="22"/>
          <w:szCs w:val="22"/>
        </w:rPr>
        <w:t xml:space="preserve"> treatment strategies </w:t>
      </w:r>
      <w:r>
        <w:rPr>
          <w:b/>
          <w:sz w:val="22"/>
          <w:szCs w:val="22"/>
        </w:rPr>
        <w:t>for sustainable use of antibiotics in the clinic</w:t>
      </w:r>
      <w:r w:rsidR="009D444C" w:rsidRPr="0017469A">
        <w:rPr>
          <w:sz w:val="22"/>
          <w:szCs w:val="22"/>
        </w:rPr>
        <w:t xml:space="preserve">. </w:t>
      </w:r>
      <w:r>
        <w:rPr>
          <w:sz w:val="22"/>
          <w:szCs w:val="22"/>
        </w:rPr>
        <w:t>Antibiotic resistance is currently a significant clinical challenge for the treatment of patients. Dr. Wright's research in this area focuses on improving the stewardship of our existing antibiotics. He is approaching this by analyzing clinical data stored in electronic health records, and applying this information to experimentally test alternative strategies for antibiotic treatment</w:t>
      </w:r>
      <w:r w:rsidR="00B22CD4">
        <w:rPr>
          <w:sz w:val="22"/>
          <w:szCs w:val="22"/>
        </w:rPr>
        <w:t>.</w:t>
      </w:r>
    </w:p>
    <w:p w14:paraId="0F3311BA" w14:textId="237F9252" w:rsidR="009D444C" w:rsidRPr="00F9111D" w:rsidRDefault="00B22CD4" w:rsidP="009D444C">
      <w:pPr>
        <w:pStyle w:val="ListParagraph"/>
        <w:numPr>
          <w:ilvl w:val="0"/>
          <w:numId w:val="19"/>
        </w:numPr>
        <w:autoSpaceDE/>
        <w:autoSpaceDN/>
        <w:spacing w:before="120"/>
        <w:ind w:left="1080"/>
        <w:contextualSpacing w:val="0"/>
        <w:rPr>
          <w:b/>
          <w:bCs/>
        </w:rPr>
      </w:pPr>
      <w:r>
        <w:rPr>
          <w:bCs/>
        </w:rPr>
        <w:t>Beckley, A.</w:t>
      </w:r>
      <w:r w:rsidR="00E975E8">
        <w:rPr>
          <w:bCs/>
        </w:rPr>
        <w:t>,</w:t>
      </w:r>
      <w:r>
        <w:rPr>
          <w:bCs/>
        </w:rPr>
        <w:t xml:space="preserve"> </w:t>
      </w:r>
      <w:r w:rsidR="00E975E8">
        <w:rPr>
          <w:bCs/>
        </w:rPr>
        <w:t xml:space="preserve">&amp; </w:t>
      </w:r>
      <w:r w:rsidR="009D444C" w:rsidRPr="00F32F3D">
        <w:rPr>
          <w:bCs/>
        </w:rPr>
        <w:t>Wright, E. (20</w:t>
      </w:r>
      <w:r w:rsidR="00E975E8">
        <w:rPr>
          <w:bCs/>
        </w:rPr>
        <w:t>21</w:t>
      </w:r>
      <w:r w:rsidR="009D444C" w:rsidRPr="00F32F3D">
        <w:rPr>
          <w:bCs/>
        </w:rPr>
        <w:t xml:space="preserve">). </w:t>
      </w:r>
      <w:r w:rsidR="00E975E8" w:rsidRPr="00E975E8">
        <w:rPr>
          <w:bCs/>
        </w:rPr>
        <w:t>Identification of antibiotic pairs that evade concurrent resistance via a retrospective analysis of antimicrobial susceptibility test results</w:t>
      </w:r>
      <w:r w:rsidR="009D444C" w:rsidRPr="00F32F3D">
        <w:rPr>
          <w:bCs/>
        </w:rPr>
        <w:t xml:space="preserve">. </w:t>
      </w:r>
      <w:r w:rsidR="00E975E8">
        <w:rPr>
          <w:bCs/>
        </w:rPr>
        <w:t>The Lancet Microbe</w:t>
      </w:r>
      <w:r w:rsidR="009D444C" w:rsidRPr="00F32F3D">
        <w:rPr>
          <w:bCs/>
        </w:rPr>
        <w:t xml:space="preserve">, </w:t>
      </w:r>
      <w:r w:rsidR="00E975E8">
        <w:rPr>
          <w:bCs/>
        </w:rPr>
        <w:t>2</w:t>
      </w:r>
      <w:r w:rsidR="009D444C" w:rsidRPr="00F32F3D">
        <w:rPr>
          <w:bCs/>
        </w:rPr>
        <w:t>(</w:t>
      </w:r>
      <w:r w:rsidR="00E975E8">
        <w:rPr>
          <w:bCs/>
        </w:rPr>
        <w:t>10</w:t>
      </w:r>
      <w:r w:rsidR="009D444C" w:rsidRPr="00F32F3D">
        <w:rPr>
          <w:bCs/>
        </w:rPr>
        <w:t xml:space="preserve">), </w:t>
      </w:r>
      <w:r w:rsidR="00E975E8">
        <w:rPr>
          <w:bCs/>
        </w:rPr>
        <w:t>e545</w:t>
      </w:r>
      <w:r w:rsidR="009D444C" w:rsidRPr="00F32F3D">
        <w:rPr>
          <w:bCs/>
        </w:rPr>
        <w:t>–</w:t>
      </w:r>
      <w:r w:rsidR="00E975E8">
        <w:rPr>
          <w:bCs/>
        </w:rPr>
        <w:t>e554</w:t>
      </w:r>
      <w:r w:rsidR="009D444C" w:rsidRPr="00F32F3D">
        <w:rPr>
          <w:bCs/>
        </w:rPr>
        <w:t>.</w:t>
      </w:r>
    </w:p>
    <w:p w14:paraId="66BD04A2" w14:textId="5122639D" w:rsidR="009D444C" w:rsidRPr="00F0551E" w:rsidRDefault="00E975E8" w:rsidP="00717FB9">
      <w:pPr>
        <w:pStyle w:val="ListParagraph"/>
        <w:numPr>
          <w:ilvl w:val="0"/>
          <w:numId w:val="19"/>
        </w:numPr>
        <w:autoSpaceDE/>
        <w:autoSpaceDN/>
        <w:spacing w:before="120"/>
        <w:ind w:left="1080"/>
        <w:contextualSpacing w:val="0"/>
        <w:rPr>
          <w:rStyle w:val="Strong"/>
        </w:rPr>
      </w:pPr>
      <w:r>
        <w:rPr>
          <w:bCs/>
        </w:rPr>
        <w:t>Rost, L., Nguyen, M.H., Clancy, C., Shields, R., &amp; Wright, E</w:t>
      </w:r>
      <w:r w:rsidR="0002031B" w:rsidRPr="0002031B">
        <w:rPr>
          <w:rStyle w:val="Strong"/>
          <w:b w:val="0"/>
        </w:rPr>
        <w:t>.</w:t>
      </w:r>
      <w:r>
        <w:rPr>
          <w:rStyle w:val="Strong"/>
          <w:b w:val="0"/>
        </w:rPr>
        <w:t xml:space="preserve"> (2021). </w:t>
      </w:r>
      <w:r w:rsidRPr="00E975E8">
        <w:rPr>
          <w:rStyle w:val="Strong"/>
          <w:b w:val="0"/>
        </w:rPr>
        <w:t>Discordance Among Antibiotic Prescription Guidelines Reflects a Lack of Clear Best Practices. Open Forum Infec</w:t>
      </w:r>
      <w:r>
        <w:rPr>
          <w:rStyle w:val="Strong"/>
          <w:b w:val="0"/>
        </w:rPr>
        <w:t>tious</w:t>
      </w:r>
      <w:r w:rsidRPr="00E975E8">
        <w:rPr>
          <w:rStyle w:val="Strong"/>
          <w:b w:val="0"/>
        </w:rPr>
        <w:t xml:space="preserve"> Dis</w:t>
      </w:r>
      <w:r>
        <w:rPr>
          <w:rStyle w:val="Strong"/>
          <w:b w:val="0"/>
        </w:rPr>
        <w:t>eases</w:t>
      </w:r>
      <w:r w:rsidRPr="00E975E8">
        <w:rPr>
          <w:rStyle w:val="Strong"/>
          <w:b w:val="0"/>
        </w:rPr>
        <w:t>, 8(1):ofaa571.</w:t>
      </w:r>
    </w:p>
    <w:p w14:paraId="2F5451BB" w14:textId="57C4E7FF" w:rsidR="00F0551E" w:rsidRPr="009D7FB7" w:rsidRDefault="009D7FB7" w:rsidP="00717FB9">
      <w:pPr>
        <w:pStyle w:val="ListParagraph"/>
        <w:numPr>
          <w:ilvl w:val="0"/>
          <w:numId w:val="19"/>
        </w:numPr>
        <w:autoSpaceDE/>
        <w:autoSpaceDN/>
        <w:spacing w:before="120"/>
        <w:ind w:left="1080"/>
        <w:contextualSpacing w:val="0"/>
        <w:rPr>
          <w:rStyle w:val="Strong"/>
          <w:b w:val="0"/>
          <w:bCs w:val="0"/>
        </w:rPr>
      </w:pPr>
      <w:r w:rsidRPr="009D7FB7">
        <w:rPr>
          <w:rStyle w:val="Strong"/>
          <w:b w:val="0"/>
          <w:bCs w:val="0"/>
        </w:rPr>
        <w:t>Brennan, J., Jain, L., Garman, S., Donnelly, A., Wright, E., &amp; Jamieson, K.</w:t>
      </w:r>
      <w:r>
        <w:rPr>
          <w:rStyle w:val="Strong"/>
          <w:b w:val="0"/>
          <w:bCs w:val="0"/>
        </w:rPr>
        <w:t xml:space="preserve"> (2022).</w:t>
      </w:r>
      <w:r w:rsidRPr="009D7FB7">
        <w:rPr>
          <w:rStyle w:val="Strong"/>
          <w:b w:val="0"/>
          <w:bCs w:val="0"/>
        </w:rPr>
        <w:t xml:space="preserve"> Sample-efficient identification of high-dimensional antibiotic synergy with a normalized diagonal sampling design. </w:t>
      </w:r>
      <w:proofErr w:type="spellStart"/>
      <w:r w:rsidRPr="009D7FB7">
        <w:rPr>
          <w:rStyle w:val="Strong"/>
          <w:b w:val="0"/>
          <w:bCs w:val="0"/>
        </w:rPr>
        <w:t>PLoS</w:t>
      </w:r>
      <w:proofErr w:type="spellEnd"/>
      <w:r w:rsidRPr="009D7FB7">
        <w:rPr>
          <w:rStyle w:val="Strong"/>
          <w:b w:val="0"/>
          <w:bCs w:val="0"/>
        </w:rPr>
        <w:t xml:space="preserve"> </w:t>
      </w:r>
      <w:proofErr w:type="spellStart"/>
      <w:r w:rsidRPr="009D7FB7">
        <w:rPr>
          <w:rStyle w:val="Strong"/>
          <w:b w:val="0"/>
          <w:bCs w:val="0"/>
        </w:rPr>
        <w:t>Comput</w:t>
      </w:r>
      <w:proofErr w:type="spellEnd"/>
      <w:r w:rsidRPr="009D7FB7">
        <w:rPr>
          <w:rStyle w:val="Strong"/>
          <w:b w:val="0"/>
          <w:bCs w:val="0"/>
        </w:rPr>
        <w:t xml:space="preserve"> Biol 18, e1010311.</w:t>
      </w:r>
    </w:p>
    <w:p w14:paraId="72B3DB44" w14:textId="5C1F406E" w:rsidR="00B22CD4" w:rsidRDefault="00B22CD4" w:rsidP="00B22CD4">
      <w:pPr>
        <w:autoSpaceDE/>
        <w:autoSpaceDN/>
        <w:spacing w:before="120"/>
        <w:rPr>
          <w:b/>
          <w:bCs/>
        </w:rPr>
      </w:pPr>
    </w:p>
    <w:p w14:paraId="7AB87769" w14:textId="77777777" w:rsidR="00B22CD4" w:rsidRPr="0017469A" w:rsidRDefault="00B22CD4" w:rsidP="00B22CD4">
      <w:pPr>
        <w:pStyle w:val="Default"/>
        <w:numPr>
          <w:ilvl w:val="0"/>
          <w:numId w:val="20"/>
        </w:numPr>
        <w:rPr>
          <w:sz w:val="22"/>
          <w:szCs w:val="22"/>
        </w:rPr>
      </w:pPr>
      <w:r>
        <w:rPr>
          <w:b/>
          <w:sz w:val="22"/>
          <w:szCs w:val="22"/>
        </w:rPr>
        <w:t>Ecology and evolution of naturally antibiotic producing microorganisms</w:t>
      </w:r>
      <w:r w:rsidRPr="0017469A">
        <w:rPr>
          <w:sz w:val="22"/>
          <w:szCs w:val="22"/>
        </w:rPr>
        <w:t xml:space="preserve">. </w:t>
      </w:r>
      <w:r>
        <w:rPr>
          <w:sz w:val="22"/>
          <w:szCs w:val="22"/>
        </w:rPr>
        <w:t xml:space="preserve">Over half of antibiotics used in the clinic were derived from molecules produced by members of the bacteria genus </w:t>
      </w:r>
      <w:r>
        <w:rPr>
          <w:i/>
          <w:sz w:val="22"/>
          <w:szCs w:val="22"/>
        </w:rPr>
        <w:t>Streptomyces</w:t>
      </w:r>
      <w:r>
        <w:rPr>
          <w:sz w:val="22"/>
          <w:szCs w:val="22"/>
        </w:rPr>
        <w:t xml:space="preserve">. Despite their contribution to our antibiotic arsenal, we know relatively little about their ecology and evolution. Dr. Wright's doctoral dissertation dealt with understanding the role of natural </w:t>
      </w:r>
      <w:r>
        <w:rPr>
          <w:sz w:val="22"/>
          <w:szCs w:val="22"/>
        </w:rPr>
        <w:lastRenderedPageBreak/>
        <w:t xml:space="preserve">antibiotic production in shaping the ecology of bacteria belonging to the genus </w:t>
      </w:r>
      <w:r>
        <w:rPr>
          <w:i/>
          <w:sz w:val="22"/>
          <w:szCs w:val="22"/>
        </w:rPr>
        <w:t>Streptomyces</w:t>
      </w:r>
      <w:r>
        <w:rPr>
          <w:sz w:val="22"/>
          <w:szCs w:val="22"/>
        </w:rPr>
        <w:t xml:space="preserve">. Dr. Wright is now studying how </w:t>
      </w:r>
      <w:r>
        <w:rPr>
          <w:i/>
          <w:sz w:val="22"/>
          <w:szCs w:val="22"/>
        </w:rPr>
        <w:t>Streptomyces</w:t>
      </w:r>
      <w:r>
        <w:rPr>
          <w:sz w:val="22"/>
          <w:szCs w:val="22"/>
        </w:rPr>
        <w:t xml:space="preserve"> have evolved to mitigate the rise of antibiotic resistance in their competitors.</w:t>
      </w:r>
    </w:p>
    <w:p w14:paraId="11C9F819" w14:textId="77777777" w:rsidR="00B22CD4" w:rsidRPr="00F9111D" w:rsidRDefault="00B22CD4" w:rsidP="00B22CD4">
      <w:pPr>
        <w:pStyle w:val="ListParagraph"/>
        <w:numPr>
          <w:ilvl w:val="0"/>
          <w:numId w:val="21"/>
        </w:numPr>
        <w:autoSpaceDE/>
        <w:autoSpaceDN/>
        <w:spacing w:before="120"/>
        <w:contextualSpacing w:val="0"/>
        <w:jc w:val="both"/>
        <w:rPr>
          <w:b/>
          <w:bCs/>
        </w:rPr>
      </w:pPr>
      <w:r w:rsidRPr="00F9111D">
        <w:rPr>
          <w:szCs w:val="22"/>
        </w:rPr>
        <w:t>Wright, E., &amp; Vetsigian, K. (2016). Inhibitory interactions promote frequent bistability among competing bacteria. Nature Communications, 7, 11274.</w:t>
      </w:r>
    </w:p>
    <w:p w14:paraId="0C3FA1CA" w14:textId="021ADF7A" w:rsidR="00B22CD4" w:rsidRPr="00F9111D" w:rsidRDefault="00B22CD4" w:rsidP="00B22CD4">
      <w:pPr>
        <w:pStyle w:val="ListParagraph"/>
        <w:numPr>
          <w:ilvl w:val="0"/>
          <w:numId w:val="21"/>
        </w:numPr>
        <w:autoSpaceDE/>
        <w:autoSpaceDN/>
        <w:spacing w:before="120"/>
        <w:contextualSpacing w:val="0"/>
        <w:jc w:val="both"/>
        <w:rPr>
          <w:bCs/>
        </w:rPr>
      </w:pPr>
      <w:r>
        <w:rPr>
          <w:bCs/>
        </w:rPr>
        <w:t>Wright, E., &amp; Baum, D. (2018)</w:t>
      </w:r>
      <w:r w:rsidR="00FB49C6">
        <w:rPr>
          <w:bCs/>
        </w:rPr>
        <w:t>.</w:t>
      </w:r>
      <w:r w:rsidRPr="00636E8E">
        <w:rPr>
          <w:bCs/>
        </w:rPr>
        <w:t xml:space="preserve"> Exclusivity offers a sound yet practical species criterion for bacteria despite abundant gene flow. BMC Genomics, 19(1):724.</w:t>
      </w:r>
    </w:p>
    <w:p w14:paraId="002E7989" w14:textId="5F0FF445" w:rsidR="00B22CD4" w:rsidRDefault="00B22CD4" w:rsidP="00B22CD4">
      <w:pPr>
        <w:pStyle w:val="ListParagraph"/>
        <w:numPr>
          <w:ilvl w:val="0"/>
          <w:numId w:val="21"/>
        </w:numPr>
        <w:autoSpaceDE/>
        <w:autoSpaceDN/>
        <w:spacing w:before="120"/>
        <w:contextualSpacing w:val="0"/>
        <w:jc w:val="both"/>
        <w:rPr>
          <w:bCs/>
        </w:rPr>
      </w:pPr>
      <w:r w:rsidRPr="0021153D">
        <w:rPr>
          <w:bCs/>
        </w:rPr>
        <w:t>Wright, E. &amp; Vetsigian, K. (2019)</w:t>
      </w:r>
      <w:r w:rsidR="00FB49C6">
        <w:rPr>
          <w:bCs/>
        </w:rPr>
        <w:t>.</w:t>
      </w:r>
      <w:r w:rsidRPr="0021153D">
        <w:rPr>
          <w:bCs/>
        </w:rPr>
        <w:t xml:space="preserve"> Stochastic exits from dormancy give rise to heavy-tailed distributions of descendants in bacterial populations. Molecular Ecology, 28(17):3915-28.</w:t>
      </w:r>
    </w:p>
    <w:p w14:paraId="4173862F" w14:textId="56704ABD" w:rsidR="009D444C" w:rsidRPr="009D444C" w:rsidRDefault="00B22CD4" w:rsidP="00C213C8">
      <w:pPr>
        <w:pStyle w:val="ListParagraph"/>
        <w:numPr>
          <w:ilvl w:val="0"/>
          <w:numId w:val="21"/>
        </w:numPr>
        <w:autoSpaceDE/>
        <w:autoSpaceDN/>
        <w:spacing w:before="120"/>
        <w:contextualSpacing w:val="0"/>
        <w:jc w:val="both"/>
        <w:rPr>
          <w:rStyle w:val="Strong"/>
          <w:rFonts w:eastAsiaTheme="minorEastAsia" w:cs="Arial"/>
          <w:b w:val="0"/>
          <w:bCs w:val="0"/>
        </w:rPr>
      </w:pPr>
      <w:r w:rsidRPr="0021153D">
        <w:rPr>
          <w:bCs/>
        </w:rPr>
        <w:t>Wright</w:t>
      </w:r>
      <w:r>
        <w:rPr>
          <w:bCs/>
        </w:rPr>
        <w:t>,</w:t>
      </w:r>
      <w:r w:rsidRPr="0021153D">
        <w:rPr>
          <w:bCs/>
        </w:rPr>
        <w:t xml:space="preserve"> E</w:t>
      </w:r>
      <w:r>
        <w:rPr>
          <w:bCs/>
        </w:rPr>
        <w:t>.</w:t>
      </w:r>
      <w:r w:rsidRPr="0021153D">
        <w:rPr>
          <w:bCs/>
        </w:rPr>
        <w:t>, Gupta</w:t>
      </w:r>
      <w:r>
        <w:rPr>
          <w:bCs/>
        </w:rPr>
        <w:t>,</w:t>
      </w:r>
      <w:r w:rsidRPr="0021153D">
        <w:rPr>
          <w:bCs/>
        </w:rPr>
        <w:t xml:space="preserve"> R</w:t>
      </w:r>
      <w:r>
        <w:rPr>
          <w:bCs/>
        </w:rPr>
        <w:t>.</w:t>
      </w:r>
      <w:r w:rsidRPr="0021153D">
        <w:rPr>
          <w:bCs/>
        </w:rPr>
        <w:t>, &amp; Vetsigian</w:t>
      </w:r>
      <w:r>
        <w:rPr>
          <w:bCs/>
        </w:rPr>
        <w:t>,</w:t>
      </w:r>
      <w:r w:rsidRPr="0021153D">
        <w:rPr>
          <w:bCs/>
        </w:rPr>
        <w:t xml:space="preserve"> K. </w:t>
      </w:r>
      <w:r>
        <w:rPr>
          <w:bCs/>
        </w:rPr>
        <w:t>(2021)</w:t>
      </w:r>
      <w:r w:rsidR="00FB49C6">
        <w:rPr>
          <w:bCs/>
        </w:rPr>
        <w:t>.</w:t>
      </w:r>
      <w:r>
        <w:rPr>
          <w:bCs/>
        </w:rPr>
        <w:t xml:space="preserve"> </w:t>
      </w:r>
      <w:r w:rsidRPr="0021153D">
        <w:rPr>
          <w:bCs/>
        </w:rPr>
        <w:t>Multi-stable bacterial communities exhibit extreme sensitivity to initial conditions. FEMS Microbiol Ecol</w:t>
      </w:r>
      <w:r>
        <w:rPr>
          <w:bCs/>
        </w:rPr>
        <w:t xml:space="preserve">ogy, </w:t>
      </w:r>
      <w:r w:rsidRPr="0021153D">
        <w:rPr>
          <w:bCs/>
        </w:rPr>
        <w:t>97(6).</w:t>
      </w:r>
    </w:p>
    <w:sectPr w:rsidR="009D444C" w:rsidRPr="009D444C" w:rsidSect="00DF7645">
      <w:headerReference w:type="default" r:id="rId10"/>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EE70" w14:textId="77777777" w:rsidR="00CA55E0" w:rsidRDefault="00CA55E0">
      <w:r>
        <w:separator/>
      </w:r>
    </w:p>
  </w:endnote>
  <w:endnote w:type="continuationSeparator" w:id="0">
    <w:p w14:paraId="2F9A3491" w14:textId="77777777" w:rsidR="00CA55E0" w:rsidRDefault="00CA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AD57" w14:textId="77777777" w:rsidR="00CA55E0" w:rsidRDefault="00CA55E0">
      <w:r>
        <w:separator/>
      </w:r>
    </w:p>
  </w:footnote>
  <w:footnote w:type="continuationSeparator" w:id="0">
    <w:p w14:paraId="5E4F0EC3" w14:textId="77777777" w:rsidR="00CA55E0" w:rsidRDefault="00CA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4BE79BB4" w:rsidR="00E127A1" w:rsidRDefault="00E1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8B129C"/>
    <w:multiLevelType w:val="hybridMultilevel"/>
    <w:tmpl w:val="943C68B0"/>
    <w:lvl w:ilvl="0" w:tplc="24E27DE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274A7C2F"/>
    <w:multiLevelType w:val="hybridMultilevel"/>
    <w:tmpl w:val="82D47876"/>
    <w:lvl w:ilvl="0" w:tplc="B0A65C6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C1287B"/>
    <w:multiLevelType w:val="hybridMultilevel"/>
    <w:tmpl w:val="82D47876"/>
    <w:lvl w:ilvl="0" w:tplc="B0A65C6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15F0A"/>
    <w:multiLevelType w:val="hybridMultilevel"/>
    <w:tmpl w:val="82D47876"/>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65D61A28"/>
    <w:multiLevelType w:val="hybridMultilevel"/>
    <w:tmpl w:val="0164BA58"/>
    <w:lvl w:ilvl="0" w:tplc="B0A65C6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2"/>
  </w:num>
  <w:num w:numId="14">
    <w:abstractNumId w:val="21"/>
  </w:num>
  <w:num w:numId="15">
    <w:abstractNumId w:val="19"/>
  </w:num>
  <w:num w:numId="16">
    <w:abstractNumId w:val="20"/>
  </w:num>
  <w:num w:numId="17">
    <w:abstractNumId w:val="10"/>
  </w:num>
  <w:num w:numId="18">
    <w:abstractNumId w:val="16"/>
  </w:num>
  <w:num w:numId="19">
    <w:abstractNumId w:val="14"/>
  </w:num>
  <w:num w:numId="20">
    <w:abstractNumId w:val="11"/>
  </w:num>
  <w:num w:numId="21">
    <w:abstractNumId w:val="13"/>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031B"/>
    <w:rsid w:val="00023A7A"/>
    <w:rsid w:val="00067621"/>
    <w:rsid w:val="00075D1B"/>
    <w:rsid w:val="00084466"/>
    <w:rsid w:val="000A35C4"/>
    <w:rsid w:val="000E3BEC"/>
    <w:rsid w:val="00122EB3"/>
    <w:rsid w:val="00132CA6"/>
    <w:rsid w:val="0014571A"/>
    <w:rsid w:val="00146756"/>
    <w:rsid w:val="00170D87"/>
    <w:rsid w:val="00177D49"/>
    <w:rsid w:val="00183022"/>
    <w:rsid w:val="0019430B"/>
    <w:rsid w:val="001C065C"/>
    <w:rsid w:val="001F732D"/>
    <w:rsid w:val="0021153D"/>
    <w:rsid w:val="002506F6"/>
    <w:rsid w:val="0028051C"/>
    <w:rsid w:val="00291C1E"/>
    <w:rsid w:val="002A70D9"/>
    <w:rsid w:val="002B7443"/>
    <w:rsid w:val="002C2C04"/>
    <w:rsid w:val="002C4808"/>
    <w:rsid w:val="002C51BC"/>
    <w:rsid w:val="002D7520"/>
    <w:rsid w:val="002E2CA2"/>
    <w:rsid w:val="002E5125"/>
    <w:rsid w:val="00307C9E"/>
    <w:rsid w:val="00321A19"/>
    <w:rsid w:val="0035045F"/>
    <w:rsid w:val="00355CD3"/>
    <w:rsid w:val="0037667F"/>
    <w:rsid w:val="00382AB6"/>
    <w:rsid w:val="00383712"/>
    <w:rsid w:val="00384B75"/>
    <w:rsid w:val="003C2647"/>
    <w:rsid w:val="003C3CA5"/>
    <w:rsid w:val="003C62D6"/>
    <w:rsid w:val="003D2399"/>
    <w:rsid w:val="003E4A92"/>
    <w:rsid w:val="003F6A45"/>
    <w:rsid w:val="0040289D"/>
    <w:rsid w:val="00432346"/>
    <w:rsid w:val="00447F3A"/>
    <w:rsid w:val="004759D9"/>
    <w:rsid w:val="0049068A"/>
    <w:rsid w:val="00493D23"/>
    <w:rsid w:val="004A3DC4"/>
    <w:rsid w:val="004A3FC8"/>
    <w:rsid w:val="004C5F87"/>
    <w:rsid w:val="004E542F"/>
    <w:rsid w:val="00503B57"/>
    <w:rsid w:val="005145BB"/>
    <w:rsid w:val="00517BFD"/>
    <w:rsid w:val="0054471F"/>
    <w:rsid w:val="005461F3"/>
    <w:rsid w:val="00547118"/>
    <w:rsid w:val="00547AC9"/>
    <w:rsid w:val="00551A99"/>
    <w:rsid w:val="0055327C"/>
    <w:rsid w:val="00567D55"/>
    <w:rsid w:val="00592740"/>
    <w:rsid w:val="005A7F6F"/>
    <w:rsid w:val="005C2BDD"/>
    <w:rsid w:val="005C2CF8"/>
    <w:rsid w:val="005C47A8"/>
    <w:rsid w:val="005E406E"/>
    <w:rsid w:val="005F0B12"/>
    <w:rsid w:val="005F5F51"/>
    <w:rsid w:val="00601C69"/>
    <w:rsid w:val="00616BCC"/>
    <w:rsid w:val="00624261"/>
    <w:rsid w:val="00641554"/>
    <w:rsid w:val="00646AF9"/>
    <w:rsid w:val="006569ED"/>
    <w:rsid w:val="00656AB8"/>
    <w:rsid w:val="006609B6"/>
    <w:rsid w:val="0068699D"/>
    <w:rsid w:val="006A353C"/>
    <w:rsid w:val="006A56FC"/>
    <w:rsid w:val="006B2D1C"/>
    <w:rsid w:val="006C1E1F"/>
    <w:rsid w:val="006E6FB5"/>
    <w:rsid w:val="006F2A52"/>
    <w:rsid w:val="007050F5"/>
    <w:rsid w:val="0071140F"/>
    <w:rsid w:val="00717FB9"/>
    <w:rsid w:val="00722C8F"/>
    <w:rsid w:val="007466E3"/>
    <w:rsid w:val="00763DE9"/>
    <w:rsid w:val="00781234"/>
    <w:rsid w:val="0079768B"/>
    <w:rsid w:val="007B7AF3"/>
    <w:rsid w:val="007E6E1E"/>
    <w:rsid w:val="008073EB"/>
    <w:rsid w:val="00824FAC"/>
    <w:rsid w:val="00843027"/>
    <w:rsid w:val="00873917"/>
    <w:rsid w:val="00874EBC"/>
    <w:rsid w:val="0087514A"/>
    <w:rsid w:val="00890CA9"/>
    <w:rsid w:val="009211D3"/>
    <w:rsid w:val="00933173"/>
    <w:rsid w:val="00934124"/>
    <w:rsid w:val="00952A27"/>
    <w:rsid w:val="00977FA5"/>
    <w:rsid w:val="009D444C"/>
    <w:rsid w:val="009D7E97"/>
    <w:rsid w:val="009D7FB7"/>
    <w:rsid w:val="009E52CA"/>
    <w:rsid w:val="009F72E5"/>
    <w:rsid w:val="00A03FFA"/>
    <w:rsid w:val="00A04942"/>
    <w:rsid w:val="00A04B52"/>
    <w:rsid w:val="00A1469B"/>
    <w:rsid w:val="00A14EF5"/>
    <w:rsid w:val="00A26D0F"/>
    <w:rsid w:val="00A42D9B"/>
    <w:rsid w:val="00A50A8B"/>
    <w:rsid w:val="00A5222D"/>
    <w:rsid w:val="00A55D1D"/>
    <w:rsid w:val="00A63D7C"/>
    <w:rsid w:val="00A7514C"/>
    <w:rsid w:val="00A8122C"/>
    <w:rsid w:val="00A83312"/>
    <w:rsid w:val="00AE41C4"/>
    <w:rsid w:val="00B22CD4"/>
    <w:rsid w:val="00C05C55"/>
    <w:rsid w:val="00C076C6"/>
    <w:rsid w:val="00C1247F"/>
    <w:rsid w:val="00C137DA"/>
    <w:rsid w:val="00C20F69"/>
    <w:rsid w:val="00C213C8"/>
    <w:rsid w:val="00C3113F"/>
    <w:rsid w:val="00C4536F"/>
    <w:rsid w:val="00C459D6"/>
    <w:rsid w:val="00C46ADA"/>
    <w:rsid w:val="00C75BA8"/>
    <w:rsid w:val="00C8438D"/>
    <w:rsid w:val="00C85025"/>
    <w:rsid w:val="00C918BD"/>
    <w:rsid w:val="00C94E59"/>
    <w:rsid w:val="00CA55E0"/>
    <w:rsid w:val="00CA680A"/>
    <w:rsid w:val="00CE0951"/>
    <w:rsid w:val="00CF68A2"/>
    <w:rsid w:val="00D003AD"/>
    <w:rsid w:val="00D00D46"/>
    <w:rsid w:val="00D3779E"/>
    <w:rsid w:val="00D679E5"/>
    <w:rsid w:val="00D729D6"/>
    <w:rsid w:val="00D74391"/>
    <w:rsid w:val="00D75CAC"/>
    <w:rsid w:val="00D83360"/>
    <w:rsid w:val="00D93FA5"/>
    <w:rsid w:val="00DB7B85"/>
    <w:rsid w:val="00DD31B4"/>
    <w:rsid w:val="00DF7645"/>
    <w:rsid w:val="00E03323"/>
    <w:rsid w:val="00E047AD"/>
    <w:rsid w:val="00E12287"/>
    <w:rsid w:val="00E127A1"/>
    <w:rsid w:val="00E20E6D"/>
    <w:rsid w:val="00E355C2"/>
    <w:rsid w:val="00E53B95"/>
    <w:rsid w:val="00E67A05"/>
    <w:rsid w:val="00E74AB7"/>
    <w:rsid w:val="00E81FE1"/>
    <w:rsid w:val="00E90203"/>
    <w:rsid w:val="00E975E8"/>
    <w:rsid w:val="00EA0405"/>
    <w:rsid w:val="00ED35D7"/>
    <w:rsid w:val="00ED61AB"/>
    <w:rsid w:val="00EE565A"/>
    <w:rsid w:val="00EF4C32"/>
    <w:rsid w:val="00EF69CD"/>
    <w:rsid w:val="00F02126"/>
    <w:rsid w:val="00F0551E"/>
    <w:rsid w:val="00F07AB3"/>
    <w:rsid w:val="00F262AB"/>
    <w:rsid w:val="00F7284D"/>
    <w:rsid w:val="00F94A2B"/>
    <w:rsid w:val="00FA00C6"/>
    <w:rsid w:val="00FB49C6"/>
    <w:rsid w:val="00FC5F9E"/>
    <w:rsid w:val="00FE10AD"/>
    <w:rsid w:val="00FE52B9"/>
    <w:rsid w:val="00FE7A5F"/>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Caption">
    <w:name w:val="caption"/>
    <w:basedOn w:val="Normal"/>
    <w:next w:val="Normal"/>
    <w:qFormat/>
    <w:rsid w:val="009D444C"/>
    <w:pPr>
      <w:spacing w:before="120" w:after="120"/>
    </w:pPr>
    <w:rPr>
      <w:rFonts w:ascii="Times" w:hAnsi="Times" w:cs="Times"/>
      <w:b/>
      <w:bCs/>
      <w:sz w:val="24"/>
    </w:rPr>
  </w:style>
  <w:style w:type="paragraph" w:customStyle="1" w:styleId="Default">
    <w:name w:val="Default"/>
    <w:rsid w:val="009D44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D444C"/>
    <w:pPr>
      <w:ind w:left="720"/>
      <w:contextualSpacing/>
    </w:pPr>
  </w:style>
  <w:style w:type="character" w:styleId="UnresolvedMention">
    <w:name w:val="Unresolved Mention"/>
    <w:basedOn w:val="DefaultParagraphFont"/>
    <w:uiPriority w:val="99"/>
    <w:semiHidden/>
    <w:unhideWhenUsed/>
    <w:rsid w:val="001F7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D0DC958FBEEE48836E062EF598A96D" ma:contentTypeVersion="6" ma:contentTypeDescription="Create a new document." ma:contentTypeScope="" ma:versionID="9148b4b5e0fa88318cca793ec4b24004">
  <xsd:schema xmlns:xsd="http://www.w3.org/2001/XMLSchema" xmlns:xs="http://www.w3.org/2001/XMLSchema" xmlns:p="http://schemas.microsoft.com/office/2006/metadata/properties" xmlns:ns2="30577b95-eb91-4f16-9434-7f8d99b86dbd" xmlns:ns3="9945de61-050f-4a31-adbb-2cf301d783f2" targetNamespace="http://schemas.microsoft.com/office/2006/metadata/properties" ma:root="true" ma:fieldsID="f7637506841938321eb59714a7d9a011" ns2:_="" ns3:_="">
    <xsd:import namespace="30577b95-eb91-4f16-9434-7f8d99b86dbd"/>
    <xsd:import namespace="9945de61-050f-4a31-adbb-2cf301d783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77b95-eb91-4f16-9434-7f8d99b86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45de61-050f-4a31-adbb-2cf301d78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 ds:uri="90cc9ed5-125c-488b-a883-4b2061b7b65f"/>
  </ds:schemaRefs>
</ds:datastoreItem>
</file>

<file path=customXml/itemProps3.xml><?xml version="1.0" encoding="utf-8"?>
<ds:datastoreItem xmlns:ds="http://schemas.openxmlformats.org/officeDocument/2006/customXml" ds:itemID="{B4F85DE0-9434-49E1-8850-7D1D2B009C00}"/>
</file>

<file path=docProps/app.xml><?xml version="1.0" encoding="utf-8"?>
<Properties xmlns="http://schemas.openxmlformats.org/officeDocument/2006/extended-properties" xmlns:vt="http://schemas.openxmlformats.org/officeDocument/2006/docPropsVTypes">
  <Template>Normal.dotm</Template>
  <TotalTime>43</TotalTime>
  <Pages>3</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7712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Erik Wright</cp:lastModifiedBy>
  <cp:revision>10</cp:revision>
  <cp:lastPrinted>2011-03-11T19:43:00Z</cp:lastPrinted>
  <dcterms:created xsi:type="dcterms:W3CDTF">2022-01-27T14:43:00Z</dcterms:created>
  <dcterms:modified xsi:type="dcterms:W3CDTF">2023-10-30T15:53:00Z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0x010100E3D0DC958FBEEE48836E062EF598A96D</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