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14CD" w14:textId="77777777" w:rsidR="008A792E" w:rsidRDefault="008A792E" w:rsidP="008A792E">
      <w:pPr>
        <w:pStyle w:val="OMBInfo"/>
      </w:pPr>
      <w:r>
        <w:t>OMB No. 0925-0001 and 0925-0002 (Rev. 10/2021</w:t>
      </w:r>
      <w:r w:rsidRPr="007E6E1E">
        <w:t xml:space="preserve"> </w:t>
      </w:r>
      <w:r>
        <w:t>Approved Through 09/30/2024)</w:t>
      </w:r>
    </w:p>
    <w:p w14:paraId="4E7CB7B2" w14:textId="77777777" w:rsidR="002A7914" w:rsidRDefault="00176A79">
      <w:pPr>
        <w:pStyle w:val="Title"/>
      </w:pPr>
      <w:r>
        <w:t>BIOGRAPHICAL SKETCH</w:t>
      </w:r>
    </w:p>
    <w:p w14:paraId="21A003D4" w14:textId="77777777" w:rsidR="002A7914" w:rsidRDefault="00176A79">
      <w:pPr>
        <w:pBdr>
          <w:top w:val="nil"/>
          <w:left w:val="nil"/>
          <w:bottom w:val="single" w:sz="4" w:space="6" w:color="000000"/>
          <w:right w:val="nil"/>
          <w:between w:val="nil"/>
        </w:pBdr>
        <w:spacing w:before="40" w:after="40"/>
        <w:jc w:val="center"/>
        <w:rPr>
          <w:color w:val="000000"/>
          <w:sz w:val="16"/>
          <w:szCs w:val="16"/>
        </w:rPr>
      </w:pPr>
      <w:r>
        <w:rPr>
          <w:color w:val="000000"/>
          <w:sz w:val="16"/>
          <w:szCs w:val="16"/>
        </w:rPr>
        <w:t>Provide the following information for the Senior/key personnel and other significant contributors.</w:t>
      </w:r>
      <w:r>
        <w:rPr>
          <w:color w:val="000000"/>
          <w:sz w:val="16"/>
          <w:szCs w:val="16"/>
        </w:rPr>
        <w:br/>
        <w:t xml:space="preserve">Follow this format for each person.  </w:t>
      </w:r>
      <w:r>
        <w:rPr>
          <w:b/>
          <w:color w:val="000000"/>
          <w:sz w:val="16"/>
          <w:szCs w:val="16"/>
        </w:rPr>
        <w:t>DO NOT EXCEED FIVE PAGES.</w:t>
      </w:r>
    </w:p>
    <w:p w14:paraId="12BF9F87" w14:textId="77777777" w:rsidR="002A7914" w:rsidRDefault="00176A79">
      <w:pPr>
        <w:pBdr>
          <w:top w:val="nil"/>
          <w:left w:val="nil"/>
          <w:bottom w:val="nil"/>
          <w:right w:val="nil"/>
          <w:between w:val="single" w:sz="4" w:space="1" w:color="000000"/>
        </w:pBdr>
        <w:tabs>
          <w:tab w:val="left" w:pos="270"/>
        </w:tabs>
        <w:spacing w:after="160"/>
        <w:rPr>
          <w:color w:val="000000"/>
        </w:rPr>
      </w:pPr>
      <w:r>
        <w:rPr>
          <w:color w:val="000000"/>
        </w:rPr>
        <w:t>NAME: Douglas, Gerald P.</w:t>
      </w:r>
    </w:p>
    <w:p w14:paraId="5C57CAC5" w14:textId="77777777" w:rsidR="002A7914" w:rsidRDefault="00176A79">
      <w:pPr>
        <w:pBdr>
          <w:top w:val="nil"/>
          <w:left w:val="nil"/>
          <w:bottom w:val="nil"/>
          <w:right w:val="nil"/>
          <w:between w:val="single" w:sz="4" w:space="1" w:color="000000"/>
        </w:pBdr>
        <w:tabs>
          <w:tab w:val="left" w:pos="270"/>
        </w:tabs>
        <w:spacing w:after="160"/>
        <w:rPr>
          <w:color w:val="000000"/>
          <w:sz w:val="32"/>
          <w:szCs w:val="32"/>
        </w:rPr>
      </w:pPr>
      <w:proofErr w:type="spellStart"/>
      <w:r>
        <w:rPr>
          <w:color w:val="000000"/>
        </w:rPr>
        <w:t>eRA</w:t>
      </w:r>
      <w:proofErr w:type="spellEnd"/>
      <w:r>
        <w:rPr>
          <w:color w:val="000000"/>
        </w:rPr>
        <w:t xml:space="preserve"> COMMONS USER NAME: </w:t>
      </w:r>
      <w:proofErr w:type="spellStart"/>
      <w:r>
        <w:rPr>
          <w:color w:val="000000"/>
        </w:rPr>
        <w:t>gdouglas</w:t>
      </w:r>
      <w:proofErr w:type="spellEnd"/>
    </w:p>
    <w:p w14:paraId="2F0AC168" w14:textId="77777777" w:rsidR="002A7914" w:rsidRDefault="00176A79">
      <w:pPr>
        <w:pBdr>
          <w:top w:val="nil"/>
          <w:left w:val="nil"/>
          <w:bottom w:val="nil"/>
          <w:right w:val="nil"/>
          <w:between w:val="single" w:sz="4" w:space="1" w:color="000000"/>
        </w:pBdr>
        <w:tabs>
          <w:tab w:val="left" w:pos="270"/>
        </w:tabs>
        <w:spacing w:after="160"/>
        <w:rPr>
          <w:color w:val="000000"/>
          <w:sz w:val="32"/>
          <w:szCs w:val="32"/>
        </w:rPr>
      </w:pPr>
      <w:r>
        <w:rPr>
          <w:color w:val="000000"/>
        </w:rPr>
        <w:t>POSITION TITLE: Assistant Professor of Biomedical Informatics</w:t>
      </w:r>
    </w:p>
    <w:p w14:paraId="4AAA8474" w14:textId="77777777" w:rsidR="002A7914" w:rsidRDefault="00176A79">
      <w:pPr>
        <w:pBdr>
          <w:top w:val="nil"/>
          <w:left w:val="nil"/>
          <w:bottom w:val="nil"/>
          <w:right w:val="nil"/>
          <w:between w:val="single" w:sz="4" w:space="1" w:color="000000"/>
        </w:pBdr>
        <w:tabs>
          <w:tab w:val="left" w:pos="270"/>
        </w:tabs>
        <w:spacing w:after="160"/>
        <w:rPr>
          <w:color w:val="000000"/>
        </w:rPr>
      </w:pPr>
      <w:r>
        <w:rPr>
          <w:color w:val="000000"/>
        </w:rPr>
        <w:t>EDUCATION/TRAINING</w:t>
      </w:r>
    </w:p>
    <w:tbl>
      <w:tblPr>
        <w:tblStyle w:val="a9"/>
        <w:tblW w:w="10836" w:type="dxa"/>
        <w:tblBorders>
          <w:top w:val="single" w:sz="4" w:space="0" w:color="000000"/>
          <w:left w:val="nil"/>
          <w:bottom w:val="nil"/>
          <w:right w:val="nil"/>
          <w:insideH w:val="nil"/>
          <w:insideV w:val="single" w:sz="4" w:space="0" w:color="000000"/>
        </w:tblBorders>
        <w:tblLayout w:type="fixed"/>
        <w:tblLook w:val="0400" w:firstRow="0" w:lastRow="0" w:firstColumn="0" w:lastColumn="0" w:noHBand="0" w:noVBand="1"/>
      </w:tblPr>
      <w:tblGrid>
        <w:gridCol w:w="5220"/>
        <w:gridCol w:w="1440"/>
        <w:gridCol w:w="1584"/>
        <w:gridCol w:w="2592"/>
      </w:tblGrid>
      <w:tr w:rsidR="002A7914" w14:paraId="1A180272" w14:textId="77777777">
        <w:tc>
          <w:tcPr>
            <w:tcW w:w="5220" w:type="dxa"/>
            <w:tcBorders>
              <w:top w:val="single" w:sz="4" w:space="0" w:color="000000"/>
              <w:bottom w:val="single" w:sz="4" w:space="0" w:color="000000"/>
            </w:tcBorders>
            <w:vAlign w:val="center"/>
          </w:tcPr>
          <w:p w14:paraId="0AA82F89" w14:textId="77777777" w:rsidR="002A7914" w:rsidRDefault="00176A79">
            <w:pPr>
              <w:pBdr>
                <w:top w:val="nil"/>
                <w:left w:val="nil"/>
                <w:bottom w:val="nil"/>
                <w:right w:val="nil"/>
                <w:between w:val="nil"/>
              </w:pBdr>
              <w:tabs>
                <w:tab w:val="left" w:pos="270"/>
              </w:tabs>
              <w:jc w:val="center"/>
              <w:rPr>
                <w:color w:val="000000"/>
              </w:rPr>
            </w:pPr>
            <w:r>
              <w:rPr>
                <w:color w:val="000000"/>
              </w:rPr>
              <w:t>INSTITUTION AND LOCATION</w:t>
            </w:r>
          </w:p>
        </w:tc>
        <w:tc>
          <w:tcPr>
            <w:tcW w:w="1440" w:type="dxa"/>
            <w:tcBorders>
              <w:top w:val="single" w:sz="4" w:space="0" w:color="000000"/>
              <w:bottom w:val="single" w:sz="4" w:space="0" w:color="000000"/>
            </w:tcBorders>
            <w:vAlign w:val="center"/>
          </w:tcPr>
          <w:p w14:paraId="713442A1" w14:textId="77777777" w:rsidR="002A7914" w:rsidRDefault="00176A79">
            <w:pPr>
              <w:pBdr>
                <w:top w:val="nil"/>
                <w:left w:val="nil"/>
                <w:bottom w:val="nil"/>
                <w:right w:val="nil"/>
                <w:between w:val="nil"/>
              </w:pBdr>
              <w:tabs>
                <w:tab w:val="left" w:pos="270"/>
              </w:tabs>
              <w:jc w:val="center"/>
              <w:rPr>
                <w:color w:val="000000"/>
              </w:rPr>
            </w:pPr>
            <w:r>
              <w:rPr>
                <w:color w:val="000000"/>
              </w:rPr>
              <w:t>DEGREE</w:t>
            </w:r>
          </w:p>
          <w:p w14:paraId="7CED0C9A" w14:textId="77777777" w:rsidR="002A7914" w:rsidRDefault="00176A79">
            <w:pPr>
              <w:pBdr>
                <w:top w:val="nil"/>
                <w:left w:val="nil"/>
                <w:bottom w:val="nil"/>
                <w:right w:val="nil"/>
                <w:between w:val="nil"/>
              </w:pBdr>
              <w:tabs>
                <w:tab w:val="left" w:pos="270"/>
              </w:tabs>
              <w:jc w:val="center"/>
              <w:rPr>
                <w:i/>
                <w:color w:val="000000"/>
              </w:rPr>
            </w:pPr>
            <w:r>
              <w:rPr>
                <w:i/>
                <w:color w:val="000000"/>
              </w:rPr>
              <w:t>(if applicable)</w:t>
            </w:r>
          </w:p>
          <w:p w14:paraId="2D09625D" w14:textId="77777777" w:rsidR="002A7914" w:rsidRDefault="002A7914">
            <w:pPr>
              <w:pBdr>
                <w:top w:val="nil"/>
                <w:left w:val="nil"/>
                <w:bottom w:val="nil"/>
                <w:right w:val="nil"/>
                <w:between w:val="nil"/>
              </w:pBdr>
              <w:tabs>
                <w:tab w:val="left" w:pos="270"/>
              </w:tabs>
              <w:rPr>
                <w:color w:val="000000"/>
              </w:rPr>
            </w:pPr>
          </w:p>
        </w:tc>
        <w:tc>
          <w:tcPr>
            <w:tcW w:w="1584" w:type="dxa"/>
            <w:tcBorders>
              <w:top w:val="single" w:sz="4" w:space="0" w:color="000000"/>
              <w:bottom w:val="single" w:sz="4" w:space="0" w:color="000000"/>
            </w:tcBorders>
            <w:vAlign w:val="center"/>
          </w:tcPr>
          <w:p w14:paraId="5C0F4B59" w14:textId="77777777" w:rsidR="002A7914" w:rsidRDefault="00176A79">
            <w:pPr>
              <w:pBdr>
                <w:top w:val="nil"/>
                <w:left w:val="nil"/>
                <w:bottom w:val="nil"/>
                <w:right w:val="nil"/>
                <w:between w:val="nil"/>
              </w:pBdr>
              <w:tabs>
                <w:tab w:val="left" w:pos="270"/>
              </w:tabs>
              <w:jc w:val="center"/>
              <w:rPr>
                <w:color w:val="000000"/>
              </w:rPr>
            </w:pPr>
            <w:r>
              <w:rPr>
                <w:color w:val="000000"/>
              </w:rPr>
              <w:t>Completion Date</w:t>
            </w:r>
          </w:p>
          <w:p w14:paraId="51CA6CB3" w14:textId="77777777" w:rsidR="002A7914" w:rsidRDefault="00176A79">
            <w:pPr>
              <w:pBdr>
                <w:top w:val="nil"/>
                <w:left w:val="nil"/>
                <w:bottom w:val="nil"/>
                <w:right w:val="nil"/>
                <w:between w:val="nil"/>
              </w:pBdr>
              <w:tabs>
                <w:tab w:val="left" w:pos="270"/>
              </w:tabs>
              <w:jc w:val="center"/>
              <w:rPr>
                <w:color w:val="000000"/>
              </w:rPr>
            </w:pPr>
            <w:r>
              <w:rPr>
                <w:color w:val="000000"/>
              </w:rPr>
              <w:t>MM/YYYY</w:t>
            </w:r>
          </w:p>
          <w:p w14:paraId="5DB8E0EC" w14:textId="77777777" w:rsidR="002A7914" w:rsidRDefault="002A7914">
            <w:pPr>
              <w:pBdr>
                <w:top w:val="nil"/>
                <w:left w:val="nil"/>
                <w:bottom w:val="nil"/>
                <w:right w:val="nil"/>
                <w:between w:val="nil"/>
              </w:pBdr>
              <w:tabs>
                <w:tab w:val="left" w:pos="270"/>
              </w:tabs>
              <w:rPr>
                <w:color w:val="000000"/>
              </w:rPr>
            </w:pPr>
          </w:p>
        </w:tc>
        <w:tc>
          <w:tcPr>
            <w:tcW w:w="2592" w:type="dxa"/>
            <w:tcBorders>
              <w:top w:val="single" w:sz="4" w:space="0" w:color="000000"/>
              <w:bottom w:val="single" w:sz="4" w:space="0" w:color="000000"/>
            </w:tcBorders>
            <w:vAlign w:val="center"/>
          </w:tcPr>
          <w:p w14:paraId="1899AC08" w14:textId="77777777" w:rsidR="002A7914" w:rsidRDefault="00176A79">
            <w:pPr>
              <w:pBdr>
                <w:top w:val="nil"/>
                <w:left w:val="nil"/>
                <w:bottom w:val="nil"/>
                <w:right w:val="nil"/>
                <w:between w:val="nil"/>
              </w:pBdr>
              <w:tabs>
                <w:tab w:val="left" w:pos="270"/>
              </w:tabs>
              <w:jc w:val="center"/>
              <w:rPr>
                <w:color w:val="000000"/>
              </w:rPr>
            </w:pPr>
            <w:r>
              <w:rPr>
                <w:color w:val="000000"/>
              </w:rPr>
              <w:t>FIELD OF STUDY</w:t>
            </w:r>
          </w:p>
          <w:p w14:paraId="5A6970C4" w14:textId="77777777" w:rsidR="002A7914" w:rsidRDefault="002A7914">
            <w:pPr>
              <w:pBdr>
                <w:top w:val="nil"/>
                <w:left w:val="nil"/>
                <w:bottom w:val="nil"/>
                <w:right w:val="nil"/>
                <w:between w:val="nil"/>
              </w:pBdr>
              <w:tabs>
                <w:tab w:val="left" w:pos="270"/>
              </w:tabs>
              <w:rPr>
                <w:color w:val="000000"/>
              </w:rPr>
            </w:pPr>
          </w:p>
        </w:tc>
      </w:tr>
      <w:tr w:rsidR="002A7914" w14:paraId="248761A0" w14:textId="77777777">
        <w:trPr>
          <w:trHeight w:val="395"/>
        </w:trPr>
        <w:tc>
          <w:tcPr>
            <w:tcW w:w="5220" w:type="dxa"/>
            <w:tcBorders>
              <w:top w:val="single" w:sz="4" w:space="0" w:color="000000"/>
            </w:tcBorders>
          </w:tcPr>
          <w:p w14:paraId="262290D4" w14:textId="77777777" w:rsidR="002A7914" w:rsidRDefault="00176A79">
            <w:pPr>
              <w:pBdr>
                <w:top w:val="nil"/>
                <w:left w:val="nil"/>
                <w:bottom w:val="nil"/>
                <w:right w:val="nil"/>
                <w:between w:val="nil"/>
              </w:pBdr>
              <w:tabs>
                <w:tab w:val="left" w:pos="270"/>
              </w:tabs>
              <w:spacing w:before="20" w:after="20"/>
              <w:rPr>
                <w:color w:val="000000"/>
              </w:rPr>
            </w:pPr>
            <w:r>
              <w:rPr>
                <w:color w:val="000000"/>
              </w:rPr>
              <w:t>University of Victoria, Victoria, Canada</w:t>
            </w:r>
          </w:p>
        </w:tc>
        <w:tc>
          <w:tcPr>
            <w:tcW w:w="1440" w:type="dxa"/>
            <w:tcBorders>
              <w:top w:val="single" w:sz="4" w:space="0" w:color="000000"/>
            </w:tcBorders>
          </w:tcPr>
          <w:p w14:paraId="171ADE73" w14:textId="77777777" w:rsidR="002A7914" w:rsidRDefault="00176A79">
            <w:pPr>
              <w:pBdr>
                <w:top w:val="nil"/>
                <w:left w:val="nil"/>
                <w:bottom w:val="nil"/>
                <w:right w:val="nil"/>
                <w:between w:val="nil"/>
              </w:pBdr>
              <w:tabs>
                <w:tab w:val="left" w:pos="270"/>
              </w:tabs>
              <w:spacing w:before="20" w:after="20"/>
              <w:jc w:val="center"/>
              <w:rPr>
                <w:color w:val="000000"/>
              </w:rPr>
            </w:pPr>
            <w:r>
              <w:rPr>
                <w:color w:val="000000"/>
              </w:rPr>
              <w:t>BSc</w:t>
            </w:r>
          </w:p>
        </w:tc>
        <w:tc>
          <w:tcPr>
            <w:tcW w:w="1584" w:type="dxa"/>
            <w:tcBorders>
              <w:top w:val="single" w:sz="4" w:space="0" w:color="000000"/>
            </w:tcBorders>
          </w:tcPr>
          <w:p w14:paraId="7CD4958D" w14:textId="77777777" w:rsidR="002A7914" w:rsidRDefault="00176A79">
            <w:pPr>
              <w:pBdr>
                <w:top w:val="nil"/>
                <w:left w:val="nil"/>
                <w:bottom w:val="nil"/>
                <w:right w:val="nil"/>
                <w:between w:val="nil"/>
              </w:pBdr>
              <w:tabs>
                <w:tab w:val="left" w:pos="270"/>
              </w:tabs>
              <w:spacing w:before="20" w:after="20"/>
              <w:jc w:val="center"/>
              <w:rPr>
                <w:color w:val="000000"/>
              </w:rPr>
            </w:pPr>
            <w:r>
              <w:rPr>
                <w:color w:val="000000"/>
              </w:rPr>
              <w:t>04/1995</w:t>
            </w:r>
          </w:p>
        </w:tc>
        <w:tc>
          <w:tcPr>
            <w:tcW w:w="2592" w:type="dxa"/>
            <w:tcBorders>
              <w:top w:val="single" w:sz="4" w:space="0" w:color="000000"/>
            </w:tcBorders>
          </w:tcPr>
          <w:p w14:paraId="027A2FC6" w14:textId="77777777" w:rsidR="002A7914" w:rsidRDefault="00176A79">
            <w:pPr>
              <w:pBdr>
                <w:top w:val="nil"/>
                <w:left w:val="nil"/>
                <w:bottom w:val="nil"/>
                <w:right w:val="nil"/>
                <w:between w:val="nil"/>
              </w:pBdr>
              <w:tabs>
                <w:tab w:val="left" w:pos="270"/>
              </w:tabs>
              <w:spacing w:before="20" w:after="20"/>
              <w:rPr>
                <w:color w:val="000000"/>
              </w:rPr>
            </w:pPr>
            <w:r>
              <w:rPr>
                <w:color w:val="000000"/>
              </w:rPr>
              <w:t>Computer Science</w:t>
            </w:r>
          </w:p>
        </w:tc>
      </w:tr>
      <w:tr w:rsidR="002A7914" w14:paraId="5AC3D815" w14:textId="77777777">
        <w:trPr>
          <w:trHeight w:val="395"/>
        </w:trPr>
        <w:tc>
          <w:tcPr>
            <w:tcW w:w="5220" w:type="dxa"/>
          </w:tcPr>
          <w:p w14:paraId="78B8EE6C" w14:textId="77777777" w:rsidR="002A7914" w:rsidRDefault="00176A79">
            <w:pPr>
              <w:pBdr>
                <w:top w:val="nil"/>
                <w:left w:val="nil"/>
                <w:bottom w:val="nil"/>
                <w:right w:val="nil"/>
                <w:between w:val="nil"/>
              </w:pBdr>
              <w:tabs>
                <w:tab w:val="left" w:pos="270"/>
              </w:tabs>
              <w:spacing w:before="20" w:after="20"/>
              <w:rPr>
                <w:color w:val="000000"/>
              </w:rPr>
            </w:pPr>
            <w:r>
              <w:rPr>
                <w:color w:val="000000"/>
              </w:rPr>
              <w:t>University of Pittsburgh School of Information Science, Pittsburgh, PA</w:t>
            </w:r>
          </w:p>
          <w:p w14:paraId="699F9806" w14:textId="77777777" w:rsidR="002A7914" w:rsidRDefault="002A7914">
            <w:pPr>
              <w:pBdr>
                <w:top w:val="nil"/>
                <w:left w:val="nil"/>
                <w:bottom w:val="nil"/>
                <w:right w:val="nil"/>
                <w:between w:val="nil"/>
              </w:pBdr>
              <w:tabs>
                <w:tab w:val="left" w:pos="270"/>
              </w:tabs>
              <w:spacing w:before="20" w:after="20"/>
              <w:rPr>
                <w:color w:val="000000"/>
              </w:rPr>
            </w:pPr>
          </w:p>
        </w:tc>
        <w:tc>
          <w:tcPr>
            <w:tcW w:w="1440" w:type="dxa"/>
          </w:tcPr>
          <w:p w14:paraId="2A980283" w14:textId="77777777" w:rsidR="002A7914" w:rsidRDefault="00176A79">
            <w:pPr>
              <w:pBdr>
                <w:top w:val="nil"/>
                <w:left w:val="nil"/>
                <w:bottom w:val="nil"/>
                <w:right w:val="nil"/>
                <w:between w:val="nil"/>
              </w:pBdr>
              <w:tabs>
                <w:tab w:val="left" w:pos="270"/>
              </w:tabs>
              <w:spacing w:before="20" w:after="20"/>
              <w:jc w:val="center"/>
              <w:rPr>
                <w:color w:val="000000"/>
              </w:rPr>
            </w:pPr>
            <w:r>
              <w:rPr>
                <w:color w:val="000000"/>
              </w:rPr>
              <w:t>MSIS</w:t>
            </w:r>
          </w:p>
        </w:tc>
        <w:tc>
          <w:tcPr>
            <w:tcW w:w="1584" w:type="dxa"/>
          </w:tcPr>
          <w:p w14:paraId="24A51762" w14:textId="77777777" w:rsidR="002A7914" w:rsidRDefault="00176A79">
            <w:pPr>
              <w:pBdr>
                <w:top w:val="nil"/>
                <w:left w:val="nil"/>
                <w:bottom w:val="nil"/>
                <w:right w:val="nil"/>
                <w:between w:val="nil"/>
              </w:pBdr>
              <w:tabs>
                <w:tab w:val="left" w:pos="270"/>
              </w:tabs>
              <w:spacing w:before="20" w:after="20"/>
              <w:jc w:val="center"/>
              <w:rPr>
                <w:color w:val="000000"/>
              </w:rPr>
            </w:pPr>
            <w:r>
              <w:rPr>
                <w:color w:val="000000"/>
              </w:rPr>
              <w:t>12/1999</w:t>
            </w:r>
          </w:p>
        </w:tc>
        <w:tc>
          <w:tcPr>
            <w:tcW w:w="2592" w:type="dxa"/>
          </w:tcPr>
          <w:p w14:paraId="6C7EE27D" w14:textId="77777777" w:rsidR="002A7914" w:rsidRDefault="00176A79">
            <w:pPr>
              <w:pBdr>
                <w:top w:val="nil"/>
                <w:left w:val="nil"/>
                <w:bottom w:val="nil"/>
                <w:right w:val="nil"/>
                <w:between w:val="nil"/>
              </w:pBdr>
              <w:tabs>
                <w:tab w:val="left" w:pos="270"/>
              </w:tabs>
              <w:spacing w:before="20" w:after="20"/>
              <w:rPr>
                <w:color w:val="000000"/>
              </w:rPr>
            </w:pPr>
            <w:r>
              <w:rPr>
                <w:color w:val="000000"/>
              </w:rPr>
              <w:t>Information Science (AOC Medical Informatics)</w:t>
            </w:r>
          </w:p>
        </w:tc>
      </w:tr>
      <w:tr w:rsidR="002A7914" w14:paraId="186CA344" w14:textId="77777777">
        <w:trPr>
          <w:trHeight w:val="395"/>
        </w:trPr>
        <w:tc>
          <w:tcPr>
            <w:tcW w:w="5220" w:type="dxa"/>
          </w:tcPr>
          <w:p w14:paraId="26459571" w14:textId="77777777" w:rsidR="002A7914" w:rsidRDefault="00176A79">
            <w:pPr>
              <w:pBdr>
                <w:top w:val="nil"/>
                <w:left w:val="nil"/>
                <w:bottom w:val="nil"/>
                <w:right w:val="nil"/>
                <w:between w:val="nil"/>
              </w:pBdr>
              <w:tabs>
                <w:tab w:val="left" w:pos="270"/>
              </w:tabs>
              <w:spacing w:before="20" w:after="20"/>
              <w:rPr>
                <w:color w:val="000000"/>
              </w:rPr>
            </w:pPr>
            <w:r>
              <w:rPr>
                <w:color w:val="000000"/>
              </w:rPr>
              <w:t>University of Pittsburgh Department of Biomedical Informatics, Pittsburgh, PA</w:t>
            </w:r>
          </w:p>
        </w:tc>
        <w:tc>
          <w:tcPr>
            <w:tcW w:w="1440" w:type="dxa"/>
          </w:tcPr>
          <w:p w14:paraId="5682D489" w14:textId="77777777" w:rsidR="002A7914" w:rsidRDefault="00176A79">
            <w:pPr>
              <w:pBdr>
                <w:top w:val="nil"/>
                <w:left w:val="nil"/>
                <w:bottom w:val="nil"/>
                <w:right w:val="nil"/>
                <w:between w:val="nil"/>
              </w:pBdr>
              <w:tabs>
                <w:tab w:val="left" w:pos="270"/>
              </w:tabs>
              <w:spacing w:before="20" w:after="20"/>
              <w:jc w:val="center"/>
              <w:rPr>
                <w:color w:val="000000"/>
              </w:rPr>
            </w:pPr>
            <w:r>
              <w:rPr>
                <w:color w:val="000000"/>
              </w:rPr>
              <w:t>PhD</w:t>
            </w:r>
          </w:p>
        </w:tc>
        <w:tc>
          <w:tcPr>
            <w:tcW w:w="1584" w:type="dxa"/>
          </w:tcPr>
          <w:p w14:paraId="7420665B" w14:textId="77777777" w:rsidR="002A7914" w:rsidRDefault="00176A79">
            <w:pPr>
              <w:pBdr>
                <w:top w:val="nil"/>
                <w:left w:val="nil"/>
                <w:bottom w:val="nil"/>
                <w:right w:val="nil"/>
                <w:between w:val="nil"/>
              </w:pBdr>
              <w:tabs>
                <w:tab w:val="left" w:pos="270"/>
              </w:tabs>
              <w:spacing w:before="20" w:after="20"/>
              <w:jc w:val="center"/>
              <w:rPr>
                <w:color w:val="000000"/>
              </w:rPr>
            </w:pPr>
            <w:r>
              <w:rPr>
                <w:color w:val="000000"/>
              </w:rPr>
              <w:t>04/2009</w:t>
            </w:r>
          </w:p>
        </w:tc>
        <w:tc>
          <w:tcPr>
            <w:tcW w:w="2592" w:type="dxa"/>
          </w:tcPr>
          <w:p w14:paraId="1A03A20E" w14:textId="77777777" w:rsidR="002A7914" w:rsidRDefault="00176A79">
            <w:pPr>
              <w:pBdr>
                <w:top w:val="nil"/>
                <w:left w:val="nil"/>
                <w:bottom w:val="nil"/>
                <w:right w:val="nil"/>
                <w:between w:val="nil"/>
              </w:pBdr>
              <w:tabs>
                <w:tab w:val="left" w:pos="270"/>
              </w:tabs>
              <w:spacing w:before="20" w:after="20"/>
              <w:rPr>
                <w:color w:val="000000"/>
              </w:rPr>
            </w:pPr>
            <w:r>
              <w:rPr>
                <w:color w:val="000000"/>
              </w:rPr>
              <w:t>Biomedical Informatics</w:t>
            </w:r>
          </w:p>
        </w:tc>
      </w:tr>
      <w:tr w:rsidR="002A7914" w14:paraId="18906870" w14:textId="77777777">
        <w:trPr>
          <w:trHeight w:val="395"/>
        </w:trPr>
        <w:tc>
          <w:tcPr>
            <w:tcW w:w="5220" w:type="dxa"/>
          </w:tcPr>
          <w:p w14:paraId="1AC039AD" w14:textId="77777777" w:rsidR="002A7914" w:rsidRDefault="00176A79">
            <w:pPr>
              <w:pBdr>
                <w:top w:val="nil"/>
                <w:left w:val="nil"/>
                <w:bottom w:val="nil"/>
                <w:right w:val="nil"/>
                <w:between w:val="nil"/>
              </w:pBdr>
              <w:tabs>
                <w:tab w:val="left" w:pos="270"/>
              </w:tabs>
              <w:spacing w:before="20" w:after="20"/>
              <w:rPr>
                <w:color w:val="000000"/>
              </w:rPr>
            </w:pPr>
            <w:r>
              <w:rPr>
                <w:color w:val="000000"/>
              </w:rPr>
              <w:t>Belmont University, Nashville, TN</w:t>
            </w:r>
          </w:p>
        </w:tc>
        <w:tc>
          <w:tcPr>
            <w:tcW w:w="1440" w:type="dxa"/>
          </w:tcPr>
          <w:p w14:paraId="5B7170BF" w14:textId="77777777" w:rsidR="002A7914" w:rsidRDefault="00176A79">
            <w:pPr>
              <w:pBdr>
                <w:top w:val="nil"/>
                <w:left w:val="nil"/>
                <w:bottom w:val="nil"/>
                <w:right w:val="nil"/>
                <w:between w:val="nil"/>
              </w:pBdr>
              <w:tabs>
                <w:tab w:val="left" w:pos="270"/>
              </w:tabs>
              <w:spacing w:before="20" w:after="20"/>
              <w:jc w:val="center"/>
              <w:rPr>
                <w:color w:val="000000"/>
              </w:rPr>
            </w:pPr>
            <w:r>
              <w:rPr>
                <w:color w:val="000000"/>
              </w:rPr>
              <w:t>Certificate</w:t>
            </w:r>
          </w:p>
        </w:tc>
        <w:tc>
          <w:tcPr>
            <w:tcW w:w="1584" w:type="dxa"/>
          </w:tcPr>
          <w:p w14:paraId="29FF337E" w14:textId="77777777" w:rsidR="002A7914" w:rsidRDefault="00176A79">
            <w:pPr>
              <w:pBdr>
                <w:top w:val="nil"/>
                <w:left w:val="nil"/>
                <w:bottom w:val="nil"/>
                <w:right w:val="nil"/>
                <w:between w:val="nil"/>
              </w:pBdr>
              <w:tabs>
                <w:tab w:val="left" w:pos="270"/>
              </w:tabs>
              <w:spacing w:before="20" w:after="20"/>
              <w:jc w:val="center"/>
              <w:rPr>
                <w:color w:val="000000"/>
              </w:rPr>
            </w:pPr>
            <w:r>
              <w:rPr>
                <w:color w:val="000000"/>
              </w:rPr>
              <w:t>11/2013</w:t>
            </w:r>
          </w:p>
        </w:tc>
        <w:tc>
          <w:tcPr>
            <w:tcW w:w="2592" w:type="dxa"/>
          </w:tcPr>
          <w:p w14:paraId="3E673606" w14:textId="77777777" w:rsidR="002A7914" w:rsidRDefault="00176A79">
            <w:pPr>
              <w:pBdr>
                <w:top w:val="nil"/>
                <w:left w:val="nil"/>
                <w:bottom w:val="nil"/>
                <w:right w:val="nil"/>
                <w:between w:val="nil"/>
              </w:pBdr>
              <w:tabs>
                <w:tab w:val="left" w:pos="270"/>
              </w:tabs>
              <w:spacing w:before="20" w:after="20"/>
              <w:rPr>
                <w:color w:val="000000"/>
              </w:rPr>
            </w:pPr>
            <w:r>
              <w:rPr>
                <w:color w:val="000000"/>
              </w:rPr>
              <w:t>Lean Healthcare</w:t>
            </w:r>
          </w:p>
        </w:tc>
      </w:tr>
    </w:tbl>
    <w:p w14:paraId="77034582" w14:textId="77777777" w:rsidR="002A7914" w:rsidRDefault="002A7914">
      <w:pPr>
        <w:widowControl w:val="0"/>
        <w:spacing w:before="60"/>
        <w:jc w:val="both"/>
        <w:rPr>
          <w:b/>
        </w:rPr>
      </w:pPr>
    </w:p>
    <w:p w14:paraId="538E8E9A" w14:textId="77777777" w:rsidR="002A7914" w:rsidRDefault="00176A79">
      <w:pPr>
        <w:widowControl w:val="0"/>
        <w:spacing w:before="60"/>
      </w:pPr>
      <w:r>
        <w:rPr>
          <w:b/>
        </w:rPr>
        <w:t>A.</w:t>
      </w:r>
      <w:r>
        <w:rPr>
          <w:b/>
        </w:rPr>
        <w:tab/>
        <w:t>Personal Statement</w:t>
      </w:r>
      <w:r>
        <w:rPr>
          <w:b/>
        </w:rPr>
        <w:br/>
      </w:r>
      <w:r>
        <w:rPr>
          <w:color w:val="000000"/>
        </w:rPr>
        <w:t xml:space="preserve">Since 2001, I have dedicated my career to improving healthcare delivery in low- and middle-income countries through the advancement of science and engineering. I founded </w:t>
      </w:r>
      <w:r>
        <w:t>Baobab Health Trust</w:t>
      </w:r>
      <w:r>
        <w:rPr>
          <w:color w:val="000000"/>
        </w:rPr>
        <w:t>, the first health informatics organization in Malawi, which partnered with the Malawi Ministry of Health to develop the national electronic medical record system that has been deployed in more than 200 health facilities across the country.</w:t>
      </w:r>
      <w:r w:rsidR="00D8708F">
        <w:rPr>
          <w:color w:val="000000"/>
        </w:rPr>
        <w:t xml:space="preserve"> </w:t>
      </w:r>
      <w:r w:rsidR="00D8708F" w:rsidRPr="00D8708F">
        <w:rPr>
          <w:color w:val="000000"/>
        </w:rPr>
        <w:t>As an organization of the people, by the people and for the people, led by a Malawian board of trustees, the organization grew to employ a staff of more than 160 Malawians, and has received more than $41 million in funding since its inception in 2001, with more than $32 million in awards from the US Centers for Disease Control and Prevention to support the care and treatment of HIV through the use of health information technology.</w:t>
      </w:r>
    </w:p>
    <w:p w14:paraId="1F0185E2" w14:textId="77777777" w:rsidR="002A7914" w:rsidRDefault="00176A79">
      <w:pPr>
        <w:widowControl w:val="0"/>
        <w:spacing w:before="60"/>
      </w:pPr>
      <w:r>
        <w:rPr>
          <w:color w:val="000000"/>
        </w:rPr>
        <w:t xml:space="preserve">At the University of Pittsburgh, I have had the privilege of serving as a core faculty member of the Biomedical Informatics Training Program since 2011. Through my role as course director of our graduate course, Principles of Global Health Informatics (BIOINF 2124) and, in my capacity as Director of the Center for Health Informatics for the Underserved, I have been able to develop a new area of concentration for </w:t>
      </w:r>
      <w:r w:rsidR="00A113DF">
        <w:rPr>
          <w:color w:val="000000"/>
        </w:rPr>
        <w:t>trainees</w:t>
      </w:r>
      <w:r>
        <w:rPr>
          <w:color w:val="000000"/>
        </w:rPr>
        <w:t xml:space="preserve"> interested in the application of the principles of informatics in improving patient outcomes and reducing healthcare delivery costs in low-resource settings. I </w:t>
      </w:r>
      <w:r>
        <w:t>have</w:t>
      </w:r>
      <w:r>
        <w:rPr>
          <w:color w:val="000000"/>
        </w:rPr>
        <w:t xml:space="preserve"> created a Summer Internship in Global Health </w:t>
      </w:r>
      <w:r>
        <w:t>Informatics</w:t>
      </w:r>
      <w:r>
        <w:rPr>
          <w:color w:val="000000"/>
        </w:rPr>
        <w:t xml:space="preserve"> (BIOINF 2129) </w:t>
      </w:r>
      <w:r>
        <w:t>for trainees who would like to be involved in hands-on informatics work.  Three NLM funded pre-doctoral trainees, one NLM funded postdoctoral trainee, and two trainees funded under the NLM Summer Short-term Trainee Program have traveled to Malawi to study and conduct research in the global health informatics space</w:t>
      </w:r>
      <w:r>
        <w:rPr>
          <w:color w:val="000000"/>
        </w:rPr>
        <w:t>. Similarly, I have facilitated graduate training for three Malawian students at the University of Pittsburgh and served as their research advisor. As an inaugural member of the Technology Entertainment and Design (TED) Fellowship Program, I have a passion for innovation, and try to instill this in all my students, some of whom have become TED Fellows and had the opportunity to present on the TED stage themselves.</w:t>
      </w:r>
    </w:p>
    <w:p w14:paraId="187A0413" w14:textId="77777777" w:rsidR="002A7914" w:rsidRDefault="00176A79">
      <w:pPr>
        <w:widowControl w:val="0"/>
        <w:spacing w:before="60"/>
      </w:pPr>
      <w:r>
        <w:t>I take great pleasure in mentoring students at the graduate level, and look forward to providing continued input into the success of the Biomedical Informatics Training Program at the University of Pittsburgh.</w:t>
      </w:r>
    </w:p>
    <w:p w14:paraId="1BFAFFA2" w14:textId="77777777" w:rsidR="00D8708F" w:rsidRDefault="00D8708F">
      <w:pPr>
        <w:autoSpaceDE/>
        <w:autoSpaceDN/>
      </w:pPr>
      <w:bookmarkStart w:id="0" w:name="_heading=h.ipqtqgvtbm66" w:colFirst="0" w:colLast="0"/>
      <w:bookmarkEnd w:id="0"/>
      <w:r>
        <w:br w:type="page"/>
      </w:r>
    </w:p>
    <w:p w14:paraId="072D9C35" w14:textId="77777777" w:rsidR="002A7914" w:rsidRDefault="00176A79">
      <w:pPr>
        <w:widowControl w:val="0"/>
        <w:spacing w:before="110" w:after="110"/>
        <w:rPr>
          <w:b/>
          <w:color w:val="000000"/>
          <w:u w:val="single"/>
        </w:rPr>
      </w:pPr>
      <w:r>
        <w:rPr>
          <w:b/>
        </w:rPr>
        <w:lastRenderedPageBreak/>
        <w:t>B.</w:t>
      </w:r>
      <w:r>
        <w:rPr>
          <w:b/>
        </w:rPr>
        <w:tab/>
        <w:t>Positions and Honors</w:t>
      </w:r>
      <w:r>
        <w:rPr>
          <w:b/>
        </w:rPr>
        <w:br/>
      </w:r>
      <w:r>
        <w:rPr>
          <w:b/>
          <w:color w:val="000000"/>
          <w:u w:val="single"/>
        </w:rPr>
        <w:t>Positions and Employment</w:t>
      </w:r>
    </w:p>
    <w:tbl>
      <w:tblPr>
        <w:tblStyle w:val="a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8820"/>
      </w:tblGrid>
      <w:tr w:rsidR="002A7914" w14:paraId="07BE3B5A" w14:textId="77777777" w:rsidTr="00A113DF">
        <w:tc>
          <w:tcPr>
            <w:tcW w:w="1980" w:type="dxa"/>
            <w:tcBorders>
              <w:top w:val="nil"/>
              <w:left w:val="nil"/>
              <w:bottom w:val="nil"/>
              <w:right w:val="nil"/>
            </w:tcBorders>
          </w:tcPr>
          <w:p w14:paraId="7BCE5320" w14:textId="77777777" w:rsidR="002A7914" w:rsidRDefault="00176A79">
            <w:pPr>
              <w:widowControl w:val="0"/>
              <w:rPr>
                <w:color w:val="000000"/>
              </w:rPr>
            </w:pPr>
            <w:r>
              <w:rPr>
                <w:color w:val="000000"/>
              </w:rPr>
              <w:t>11/2010 - Present</w:t>
            </w:r>
          </w:p>
        </w:tc>
        <w:tc>
          <w:tcPr>
            <w:tcW w:w="8820" w:type="dxa"/>
            <w:tcBorders>
              <w:top w:val="nil"/>
              <w:left w:val="nil"/>
              <w:bottom w:val="nil"/>
              <w:right w:val="nil"/>
            </w:tcBorders>
          </w:tcPr>
          <w:p w14:paraId="3557E378" w14:textId="77777777" w:rsidR="002A7914" w:rsidRDefault="00176A79">
            <w:pPr>
              <w:widowControl w:val="0"/>
              <w:rPr>
                <w:color w:val="000000"/>
              </w:rPr>
            </w:pPr>
            <w:r>
              <w:rPr>
                <w:color w:val="000000"/>
              </w:rPr>
              <w:t>Assistant Professor of Biomedical Informatics, Department of Biomedical Informatics, University of Pittsburgh, Pittsburgh, PA</w:t>
            </w:r>
          </w:p>
        </w:tc>
      </w:tr>
      <w:tr w:rsidR="002A7914" w14:paraId="6C210389" w14:textId="77777777" w:rsidTr="00A113DF">
        <w:tc>
          <w:tcPr>
            <w:tcW w:w="1980" w:type="dxa"/>
            <w:tcBorders>
              <w:top w:val="nil"/>
              <w:left w:val="nil"/>
              <w:bottom w:val="nil"/>
              <w:right w:val="nil"/>
            </w:tcBorders>
          </w:tcPr>
          <w:p w14:paraId="27F7AD7C" w14:textId="77777777" w:rsidR="002A7914" w:rsidRDefault="00176A79">
            <w:pPr>
              <w:widowControl w:val="0"/>
              <w:rPr>
                <w:color w:val="000000"/>
              </w:rPr>
            </w:pPr>
            <w:r>
              <w:rPr>
                <w:color w:val="000000"/>
              </w:rPr>
              <w:t>11/2010 - Present</w:t>
            </w:r>
          </w:p>
        </w:tc>
        <w:tc>
          <w:tcPr>
            <w:tcW w:w="8820" w:type="dxa"/>
            <w:tcBorders>
              <w:top w:val="nil"/>
              <w:left w:val="nil"/>
              <w:bottom w:val="nil"/>
              <w:right w:val="nil"/>
            </w:tcBorders>
          </w:tcPr>
          <w:p w14:paraId="63C733F4" w14:textId="77777777" w:rsidR="002A7914" w:rsidRDefault="00176A79">
            <w:pPr>
              <w:widowControl w:val="0"/>
              <w:rPr>
                <w:color w:val="000000"/>
              </w:rPr>
            </w:pPr>
            <w:r>
              <w:rPr>
                <w:color w:val="000000"/>
              </w:rPr>
              <w:t>Director, Center for Health Informatics for the Underserved, Department of Biomedical Informatics, University of Pittsburgh, Pittsburgh, PA</w:t>
            </w:r>
          </w:p>
        </w:tc>
      </w:tr>
      <w:tr w:rsidR="002A7914" w14:paraId="16B56BBE" w14:textId="77777777" w:rsidTr="00A113DF">
        <w:tc>
          <w:tcPr>
            <w:tcW w:w="1980" w:type="dxa"/>
            <w:tcBorders>
              <w:top w:val="nil"/>
              <w:left w:val="nil"/>
              <w:bottom w:val="nil"/>
              <w:right w:val="nil"/>
            </w:tcBorders>
          </w:tcPr>
          <w:p w14:paraId="49918E30" w14:textId="77777777" w:rsidR="002A7914" w:rsidRDefault="00176A79">
            <w:pPr>
              <w:widowControl w:val="0"/>
              <w:rPr>
                <w:color w:val="000000"/>
              </w:rPr>
            </w:pPr>
            <w:r>
              <w:rPr>
                <w:color w:val="000000"/>
              </w:rPr>
              <w:t>10/2013 - Present</w:t>
            </w:r>
          </w:p>
        </w:tc>
        <w:tc>
          <w:tcPr>
            <w:tcW w:w="8820" w:type="dxa"/>
            <w:tcBorders>
              <w:top w:val="nil"/>
              <w:left w:val="nil"/>
              <w:bottom w:val="nil"/>
              <w:right w:val="nil"/>
            </w:tcBorders>
          </w:tcPr>
          <w:p w14:paraId="7008A52C" w14:textId="77777777" w:rsidR="002A7914" w:rsidRDefault="00176A79" w:rsidP="00A113DF">
            <w:pPr>
              <w:widowControl w:val="0"/>
              <w:rPr>
                <w:color w:val="000000"/>
              </w:rPr>
            </w:pPr>
            <w:r>
              <w:rPr>
                <w:color w:val="000000"/>
              </w:rPr>
              <w:t xml:space="preserve">Assistant Professor, Health Policy </w:t>
            </w:r>
            <w:r w:rsidR="00A113DF">
              <w:rPr>
                <w:color w:val="000000"/>
              </w:rPr>
              <w:t>&amp;</w:t>
            </w:r>
            <w:r>
              <w:rPr>
                <w:color w:val="000000"/>
              </w:rPr>
              <w:t xml:space="preserve"> Management, University of Pittsburgh, Pittsburgh, PA</w:t>
            </w:r>
          </w:p>
        </w:tc>
      </w:tr>
    </w:tbl>
    <w:p w14:paraId="48F31B16" w14:textId="77777777" w:rsidR="002A7914" w:rsidRDefault="002A7914">
      <w:pPr>
        <w:widowControl w:val="0"/>
        <w:rPr>
          <w:b/>
          <w:color w:val="000000"/>
          <w:u w:val="single"/>
        </w:rPr>
      </w:pPr>
    </w:p>
    <w:p w14:paraId="3162E446" w14:textId="77777777" w:rsidR="002A7914" w:rsidRDefault="00176A79">
      <w:pPr>
        <w:widowControl w:val="0"/>
        <w:spacing w:before="110" w:after="110"/>
        <w:rPr>
          <w:b/>
          <w:color w:val="000000"/>
          <w:u w:val="single"/>
        </w:rPr>
      </w:pPr>
      <w:r>
        <w:rPr>
          <w:b/>
          <w:color w:val="000000"/>
          <w:u w:val="single"/>
        </w:rPr>
        <w:t>Other Experience and Professional Memberships</w:t>
      </w:r>
    </w:p>
    <w:tbl>
      <w:tblPr>
        <w:tblStyle w:val="ab"/>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8730"/>
      </w:tblGrid>
      <w:tr w:rsidR="002A7914" w14:paraId="0B102EF4" w14:textId="77777777">
        <w:tc>
          <w:tcPr>
            <w:tcW w:w="2070" w:type="dxa"/>
            <w:tcBorders>
              <w:top w:val="nil"/>
              <w:left w:val="nil"/>
              <w:bottom w:val="nil"/>
              <w:right w:val="nil"/>
            </w:tcBorders>
          </w:tcPr>
          <w:p w14:paraId="39DC1DA2" w14:textId="77777777" w:rsidR="002A7914" w:rsidRDefault="00176A79">
            <w:pPr>
              <w:widowControl w:val="0"/>
              <w:rPr>
                <w:color w:val="000000"/>
              </w:rPr>
            </w:pPr>
            <w:r>
              <w:rPr>
                <w:color w:val="000000"/>
              </w:rPr>
              <w:t>2002 - Present</w:t>
            </w:r>
          </w:p>
        </w:tc>
        <w:tc>
          <w:tcPr>
            <w:tcW w:w="8730" w:type="dxa"/>
            <w:tcBorders>
              <w:top w:val="nil"/>
              <w:left w:val="nil"/>
              <w:bottom w:val="nil"/>
              <w:right w:val="nil"/>
            </w:tcBorders>
          </w:tcPr>
          <w:p w14:paraId="4C699F46" w14:textId="77777777" w:rsidR="002A7914" w:rsidRDefault="00176A79">
            <w:pPr>
              <w:widowControl w:val="0"/>
              <w:rPr>
                <w:color w:val="000000"/>
              </w:rPr>
            </w:pPr>
            <w:r>
              <w:rPr>
                <w:color w:val="000000"/>
              </w:rPr>
              <w:t>Member, American Medical Informatics Association</w:t>
            </w:r>
          </w:p>
        </w:tc>
      </w:tr>
    </w:tbl>
    <w:p w14:paraId="06E5F70C" w14:textId="77777777" w:rsidR="002A7914" w:rsidRDefault="00176A79">
      <w:pPr>
        <w:widowControl w:val="0"/>
        <w:spacing w:before="110" w:after="110"/>
        <w:rPr>
          <w:b/>
          <w:color w:val="000000"/>
          <w:u w:val="single"/>
        </w:rPr>
      </w:pPr>
      <w:r>
        <w:rPr>
          <w:b/>
          <w:color w:val="000000"/>
          <w:u w:val="single"/>
        </w:rPr>
        <w:t>Honors</w:t>
      </w:r>
    </w:p>
    <w:tbl>
      <w:tblPr>
        <w:tblStyle w:val="ac"/>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8730"/>
      </w:tblGrid>
      <w:tr w:rsidR="002A7914" w14:paraId="2B93B5E0" w14:textId="77777777">
        <w:tc>
          <w:tcPr>
            <w:tcW w:w="2070" w:type="dxa"/>
            <w:tcBorders>
              <w:top w:val="nil"/>
              <w:left w:val="nil"/>
              <w:bottom w:val="nil"/>
              <w:right w:val="nil"/>
            </w:tcBorders>
          </w:tcPr>
          <w:p w14:paraId="3F4347DF" w14:textId="77777777" w:rsidR="002A7914" w:rsidRDefault="00176A79">
            <w:pPr>
              <w:widowControl w:val="0"/>
              <w:rPr>
                <w:color w:val="000000"/>
              </w:rPr>
            </w:pPr>
            <w:r>
              <w:rPr>
                <w:color w:val="000000"/>
              </w:rPr>
              <w:t>1995</w:t>
            </w:r>
          </w:p>
        </w:tc>
        <w:tc>
          <w:tcPr>
            <w:tcW w:w="8730" w:type="dxa"/>
            <w:tcBorders>
              <w:top w:val="nil"/>
              <w:left w:val="nil"/>
              <w:bottom w:val="nil"/>
              <w:right w:val="nil"/>
            </w:tcBorders>
          </w:tcPr>
          <w:p w14:paraId="13291EEA" w14:textId="77777777" w:rsidR="002A7914" w:rsidRDefault="00176A79">
            <w:pPr>
              <w:widowControl w:val="0"/>
              <w:rPr>
                <w:color w:val="000000"/>
              </w:rPr>
            </w:pPr>
            <w:r>
              <w:rPr>
                <w:color w:val="000000"/>
              </w:rPr>
              <w:t>Graduated with Honors (Computer Science, BSc)</w:t>
            </w:r>
          </w:p>
        </w:tc>
      </w:tr>
      <w:tr w:rsidR="002A7914" w14:paraId="56C40ED7" w14:textId="77777777">
        <w:tc>
          <w:tcPr>
            <w:tcW w:w="2070" w:type="dxa"/>
            <w:tcBorders>
              <w:top w:val="nil"/>
              <w:left w:val="nil"/>
              <w:bottom w:val="nil"/>
              <w:right w:val="nil"/>
            </w:tcBorders>
          </w:tcPr>
          <w:p w14:paraId="5CB5150F" w14:textId="77777777" w:rsidR="002A7914" w:rsidRDefault="00176A79">
            <w:pPr>
              <w:widowControl w:val="0"/>
              <w:rPr>
                <w:color w:val="000000"/>
              </w:rPr>
            </w:pPr>
            <w:r>
              <w:rPr>
                <w:color w:val="000000"/>
              </w:rPr>
              <w:t>2003</w:t>
            </w:r>
          </w:p>
        </w:tc>
        <w:tc>
          <w:tcPr>
            <w:tcW w:w="8730" w:type="dxa"/>
            <w:tcBorders>
              <w:top w:val="nil"/>
              <w:left w:val="nil"/>
              <w:bottom w:val="nil"/>
              <w:right w:val="nil"/>
            </w:tcBorders>
          </w:tcPr>
          <w:p w14:paraId="29F5D39E" w14:textId="77777777" w:rsidR="002A7914" w:rsidRDefault="00176A79">
            <w:pPr>
              <w:widowControl w:val="0"/>
              <w:rPr>
                <w:color w:val="000000"/>
              </w:rPr>
            </w:pPr>
            <w:r>
              <w:rPr>
                <w:color w:val="000000"/>
              </w:rPr>
              <w:t>Best Paper Award, Health Informatics in Africa Conference, Johannesburg, South Africa</w:t>
            </w:r>
          </w:p>
        </w:tc>
      </w:tr>
      <w:tr w:rsidR="002A7914" w14:paraId="5E8185D5" w14:textId="77777777">
        <w:tc>
          <w:tcPr>
            <w:tcW w:w="2070" w:type="dxa"/>
            <w:tcBorders>
              <w:top w:val="nil"/>
              <w:left w:val="nil"/>
              <w:bottom w:val="nil"/>
              <w:right w:val="nil"/>
            </w:tcBorders>
          </w:tcPr>
          <w:p w14:paraId="3A7A4205" w14:textId="77777777" w:rsidR="002A7914" w:rsidRDefault="00176A79">
            <w:pPr>
              <w:widowControl w:val="0"/>
              <w:rPr>
                <w:color w:val="000000"/>
              </w:rPr>
            </w:pPr>
            <w:r>
              <w:rPr>
                <w:color w:val="000000"/>
              </w:rPr>
              <w:t>2009</w:t>
            </w:r>
          </w:p>
        </w:tc>
        <w:tc>
          <w:tcPr>
            <w:tcW w:w="8730" w:type="dxa"/>
            <w:tcBorders>
              <w:top w:val="nil"/>
              <w:left w:val="nil"/>
              <w:bottom w:val="nil"/>
              <w:right w:val="nil"/>
            </w:tcBorders>
          </w:tcPr>
          <w:p w14:paraId="7F439394" w14:textId="77777777" w:rsidR="002A7914" w:rsidRDefault="00176A79">
            <w:pPr>
              <w:widowControl w:val="0"/>
              <w:rPr>
                <w:color w:val="000000"/>
              </w:rPr>
            </w:pPr>
            <w:r>
              <w:rPr>
                <w:color w:val="000000"/>
              </w:rPr>
              <w:t>Technology, Entertainment &amp; Design (TED) Fellow</w:t>
            </w:r>
          </w:p>
        </w:tc>
      </w:tr>
      <w:tr w:rsidR="002A7914" w14:paraId="278E0561" w14:textId="77777777">
        <w:tc>
          <w:tcPr>
            <w:tcW w:w="2070" w:type="dxa"/>
            <w:tcBorders>
              <w:top w:val="nil"/>
              <w:left w:val="nil"/>
              <w:bottom w:val="nil"/>
              <w:right w:val="nil"/>
            </w:tcBorders>
          </w:tcPr>
          <w:p w14:paraId="29F819F7" w14:textId="77777777" w:rsidR="002A7914" w:rsidRDefault="00176A79">
            <w:pPr>
              <w:widowControl w:val="0"/>
              <w:rPr>
                <w:color w:val="000000"/>
              </w:rPr>
            </w:pPr>
            <w:r>
              <w:rPr>
                <w:color w:val="000000"/>
              </w:rPr>
              <w:t>2011</w:t>
            </w:r>
          </w:p>
        </w:tc>
        <w:tc>
          <w:tcPr>
            <w:tcW w:w="8730" w:type="dxa"/>
            <w:tcBorders>
              <w:top w:val="nil"/>
              <w:left w:val="nil"/>
              <w:bottom w:val="nil"/>
              <w:right w:val="nil"/>
            </w:tcBorders>
          </w:tcPr>
          <w:p w14:paraId="2E08ED8D" w14:textId="77777777" w:rsidR="002A7914" w:rsidRDefault="00176A79">
            <w:pPr>
              <w:widowControl w:val="0"/>
              <w:rPr>
                <w:color w:val="000000"/>
              </w:rPr>
            </w:pPr>
            <w:r>
              <w:rPr>
                <w:color w:val="000000"/>
              </w:rPr>
              <w:t>University of Victoria Faculty of Engineering Distinguished Alumnus Award</w:t>
            </w:r>
          </w:p>
        </w:tc>
      </w:tr>
    </w:tbl>
    <w:p w14:paraId="0E7114D6" w14:textId="77777777" w:rsidR="002A7914" w:rsidRDefault="002A7914">
      <w:pPr>
        <w:pBdr>
          <w:top w:val="nil"/>
          <w:left w:val="nil"/>
          <w:bottom w:val="nil"/>
          <w:right w:val="nil"/>
          <w:between w:val="nil"/>
        </w:pBdr>
        <w:rPr>
          <w:b/>
          <w:color w:val="000000"/>
        </w:rPr>
      </w:pPr>
    </w:p>
    <w:p w14:paraId="23390ADE" w14:textId="77777777" w:rsidR="002A7914" w:rsidRDefault="002A7914">
      <w:pPr>
        <w:pBdr>
          <w:top w:val="nil"/>
          <w:left w:val="nil"/>
          <w:bottom w:val="nil"/>
          <w:right w:val="nil"/>
          <w:between w:val="nil"/>
        </w:pBdr>
        <w:rPr>
          <w:b/>
          <w:color w:val="000000"/>
        </w:rPr>
      </w:pPr>
    </w:p>
    <w:p w14:paraId="5E62B82B" w14:textId="77777777" w:rsidR="002A7914" w:rsidRDefault="00176A79">
      <w:pPr>
        <w:pBdr>
          <w:top w:val="nil"/>
          <w:left w:val="nil"/>
          <w:bottom w:val="nil"/>
          <w:right w:val="nil"/>
          <w:between w:val="nil"/>
        </w:pBdr>
        <w:rPr>
          <w:b/>
          <w:color w:val="000000"/>
        </w:rPr>
      </w:pPr>
      <w:r>
        <w:rPr>
          <w:b/>
          <w:color w:val="000000"/>
        </w:rPr>
        <w:t>C.</w:t>
      </w:r>
      <w:r>
        <w:rPr>
          <w:b/>
          <w:color w:val="000000"/>
        </w:rPr>
        <w:tab/>
        <w:t>Contributions to Science</w:t>
      </w:r>
      <w:r>
        <w:rPr>
          <w:b/>
          <w:color w:val="000000"/>
        </w:rPr>
        <w:br/>
      </w:r>
    </w:p>
    <w:tbl>
      <w:tblPr>
        <w:tblStyle w:val="ad"/>
        <w:tblW w:w="10800" w:type="dxa"/>
        <w:tblLayout w:type="fixed"/>
        <w:tblLook w:val="0000" w:firstRow="0" w:lastRow="0" w:firstColumn="0" w:lastColumn="0" w:noHBand="0" w:noVBand="0"/>
      </w:tblPr>
      <w:tblGrid>
        <w:gridCol w:w="263"/>
        <w:gridCol w:w="13"/>
        <w:gridCol w:w="75"/>
        <w:gridCol w:w="627"/>
        <w:gridCol w:w="6"/>
        <w:gridCol w:w="9539"/>
        <w:gridCol w:w="277"/>
      </w:tblGrid>
      <w:tr w:rsidR="002A7914" w14:paraId="10C85DCB" w14:textId="77777777" w:rsidTr="00A113DF">
        <w:trPr>
          <w:gridAfter w:val="1"/>
          <w:wAfter w:w="277" w:type="dxa"/>
        </w:trPr>
        <w:tc>
          <w:tcPr>
            <w:tcW w:w="351" w:type="dxa"/>
            <w:gridSpan w:val="3"/>
          </w:tcPr>
          <w:p w14:paraId="0C403B71" w14:textId="77777777" w:rsidR="002A7914" w:rsidRDefault="00176A79">
            <w:pPr>
              <w:widowControl w:val="0"/>
              <w:spacing w:before="120"/>
              <w:rPr>
                <w:color w:val="000000"/>
              </w:rPr>
            </w:pPr>
            <w:r>
              <w:rPr>
                <w:color w:val="000000"/>
              </w:rPr>
              <w:t>1.</w:t>
            </w:r>
          </w:p>
        </w:tc>
        <w:tc>
          <w:tcPr>
            <w:tcW w:w="10172" w:type="dxa"/>
            <w:gridSpan w:val="3"/>
          </w:tcPr>
          <w:p w14:paraId="17350E28" w14:textId="77777777" w:rsidR="002A7914" w:rsidRDefault="00176A79">
            <w:pPr>
              <w:widowControl w:val="0"/>
              <w:spacing w:before="120"/>
              <w:jc w:val="both"/>
              <w:rPr>
                <w:color w:val="000000"/>
              </w:rPr>
            </w:pPr>
            <w:r>
              <w:rPr>
                <w:b/>
                <w:color w:val="000000"/>
              </w:rPr>
              <w:t>Infectious Disease Management in Underserved Populations</w:t>
            </w:r>
            <w:r>
              <w:rPr>
                <w:color w:val="000000"/>
              </w:rPr>
              <w:t xml:space="preserve">: Chronic diseases represent a significant portion of the overall </w:t>
            </w:r>
            <w:r>
              <w:t>burden</w:t>
            </w:r>
            <w:r>
              <w:rPr>
                <w:color w:val="000000"/>
              </w:rPr>
              <w:t xml:space="preserve"> of disease in low-income countries. Unlike primary care, chronic disease management can be highly protocolized. We hypothesized that the management of HIV patients could be supported by a point-of-care electronic medical record system with embedded guidelines. In 2008 we developed a touchscreen-based EMR system for the Malawi Ministry of Health, which was in use in 207 hospitals and health centers in Malawi by the end of 2019. In 2010 Based on this model we extended the approach to include the management of patients with diabetes and deployed it at three tertiary hospitals in Malawi. Our work has demonstrated that co-management of chronic diseases can be supported through the use of a point-of-care electronic medical record system in a low-income country setting.</w:t>
            </w:r>
          </w:p>
          <w:p w14:paraId="696CDF88" w14:textId="77777777" w:rsidR="002A7914" w:rsidRDefault="002A7914">
            <w:pPr>
              <w:widowControl w:val="0"/>
              <w:spacing w:before="120"/>
              <w:rPr>
                <w:color w:val="000000"/>
              </w:rPr>
            </w:pPr>
          </w:p>
        </w:tc>
      </w:tr>
      <w:tr w:rsidR="002A7914" w14:paraId="1AC26739" w14:textId="77777777" w:rsidTr="00A113DF">
        <w:tc>
          <w:tcPr>
            <w:tcW w:w="276" w:type="dxa"/>
            <w:gridSpan w:val="2"/>
          </w:tcPr>
          <w:p w14:paraId="71C2F21C"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5ECF134E" w14:textId="77777777" w:rsidR="002A7914" w:rsidRDefault="00176A79">
            <w:pPr>
              <w:widowControl w:val="0"/>
              <w:ind w:left="283" w:right="226"/>
              <w:rPr>
                <w:color w:val="000000"/>
              </w:rPr>
            </w:pPr>
            <w:r>
              <w:rPr>
                <w:color w:val="000000"/>
              </w:rPr>
              <w:t>a.</w:t>
            </w:r>
          </w:p>
        </w:tc>
        <w:tc>
          <w:tcPr>
            <w:tcW w:w="9822" w:type="dxa"/>
            <w:gridSpan w:val="3"/>
          </w:tcPr>
          <w:p w14:paraId="49249058" w14:textId="77777777" w:rsidR="002A7914" w:rsidRDefault="00176A79">
            <w:pPr>
              <w:widowControl w:val="0"/>
              <w:ind w:left="283" w:right="226"/>
              <w:rPr>
                <w:color w:val="000000"/>
              </w:rPr>
            </w:pPr>
            <w:r>
              <w:rPr>
                <w:color w:val="000000"/>
              </w:rPr>
              <w:t xml:space="preserve">Harries AD, Kumar AM, Karpati A, Jahn A, </w:t>
            </w:r>
            <w:r>
              <w:rPr>
                <w:b/>
                <w:color w:val="000000"/>
              </w:rPr>
              <w:t>Douglas GP</w:t>
            </w:r>
            <w:r>
              <w:rPr>
                <w:color w:val="000000"/>
              </w:rPr>
              <w:t xml:space="preserve">, Gadabu OJ, </w:t>
            </w:r>
            <w:proofErr w:type="spellStart"/>
            <w:r>
              <w:rPr>
                <w:color w:val="000000"/>
              </w:rPr>
              <w:t>Chimbwandira</w:t>
            </w:r>
            <w:proofErr w:type="spellEnd"/>
            <w:r>
              <w:rPr>
                <w:color w:val="000000"/>
              </w:rPr>
              <w:t xml:space="preserve"> F, Zachariah R. Monitoring treatment outcomes in patients with chronic disease: lessons from tuberculosis and HIV/AIDS care and treatment </w:t>
            </w:r>
            <w:proofErr w:type="spellStart"/>
            <w:r>
              <w:rPr>
                <w:color w:val="000000"/>
              </w:rPr>
              <w:t>programmes</w:t>
            </w:r>
            <w:proofErr w:type="spellEnd"/>
            <w:r>
              <w:rPr>
                <w:color w:val="000000"/>
              </w:rPr>
              <w:t xml:space="preserve">. Tropical Medicine &amp; International Health. 2015 Jul; 20 (7):961-64. </w:t>
            </w:r>
            <w:proofErr w:type="spellStart"/>
            <w:r>
              <w:rPr>
                <w:color w:val="000000"/>
              </w:rPr>
              <w:t>doi</w:t>
            </w:r>
            <w:proofErr w:type="spellEnd"/>
            <w:r>
              <w:rPr>
                <w:color w:val="000000"/>
              </w:rPr>
              <w:t>: 10.1111/tmi.12506 PMID: 25779103</w:t>
            </w:r>
          </w:p>
        </w:tc>
      </w:tr>
      <w:tr w:rsidR="002A7914" w14:paraId="56F880D1" w14:textId="77777777" w:rsidTr="00A113DF">
        <w:tc>
          <w:tcPr>
            <w:tcW w:w="276" w:type="dxa"/>
            <w:gridSpan w:val="2"/>
          </w:tcPr>
          <w:p w14:paraId="2EFEB4B9"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7C67EDD4" w14:textId="77777777" w:rsidR="002A7914" w:rsidRDefault="00176A79">
            <w:pPr>
              <w:widowControl w:val="0"/>
              <w:ind w:left="283" w:right="226"/>
              <w:rPr>
                <w:color w:val="000000"/>
              </w:rPr>
            </w:pPr>
            <w:r>
              <w:rPr>
                <w:color w:val="000000"/>
              </w:rPr>
              <w:t>b.</w:t>
            </w:r>
          </w:p>
        </w:tc>
        <w:tc>
          <w:tcPr>
            <w:tcW w:w="9822" w:type="dxa"/>
            <w:gridSpan w:val="3"/>
          </w:tcPr>
          <w:p w14:paraId="3A1BC8F0" w14:textId="77777777" w:rsidR="002A7914" w:rsidRDefault="00176A79">
            <w:pPr>
              <w:widowControl w:val="0"/>
              <w:ind w:left="283" w:right="226"/>
              <w:rPr>
                <w:color w:val="000000"/>
              </w:rPr>
            </w:pPr>
            <w:proofErr w:type="spellStart"/>
            <w:r>
              <w:rPr>
                <w:color w:val="000000"/>
              </w:rPr>
              <w:t>Manjomo</w:t>
            </w:r>
            <w:proofErr w:type="spellEnd"/>
            <w:r>
              <w:rPr>
                <w:color w:val="000000"/>
              </w:rPr>
              <w:t xml:space="preserve"> RC, </w:t>
            </w:r>
            <w:proofErr w:type="spellStart"/>
            <w:r>
              <w:rPr>
                <w:color w:val="000000"/>
              </w:rPr>
              <w:t>Mwagomba</w:t>
            </w:r>
            <w:proofErr w:type="spellEnd"/>
            <w:r>
              <w:rPr>
                <w:color w:val="000000"/>
              </w:rPr>
              <w:t xml:space="preserve"> B, Serge A, Ben-Smith AE, </w:t>
            </w:r>
            <w:proofErr w:type="spellStart"/>
            <w:r>
              <w:rPr>
                <w:color w:val="000000"/>
              </w:rPr>
              <w:t>Khomani</w:t>
            </w:r>
            <w:proofErr w:type="spellEnd"/>
            <w:r>
              <w:rPr>
                <w:color w:val="000000"/>
              </w:rPr>
              <w:t xml:space="preserve"> P, </w:t>
            </w:r>
            <w:r>
              <w:rPr>
                <w:b/>
                <w:color w:val="000000"/>
              </w:rPr>
              <w:t>Douglas GP</w:t>
            </w:r>
            <w:r>
              <w:rPr>
                <w:color w:val="000000"/>
              </w:rPr>
              <w:t>, Tayler-Smith K, Harries AD, Gadabu OJ. Integrating non-communicable disease management into primary health care in Lilongwe, Malawi: early experience. Public Health Action. 2015.</w:t>
            </w:r>
          </w:p>
        </w:tc>
      </w:tr>
      <w:tr w:rsidR="002A7914" w14:paraId="17986CCA" w14:textId="77777777" w:rsidTr="00A113DF">
        <w:tc>
          <w:tcPr>
            <w:tcW w:w="276" w:type="dxa"/>
            <w:gridSpan w:val="2"/>
          </w:tcPr>
          <w:p w14:paraId="1672C5C5"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4C19C300" w14:textId="77777777" w:rsidR="002A7914" w:rsidRDefault="00176A79">
            <w:pPr>
              <w:widowControl w:val="0"/>
              <w:ind w:left="283" w:right="226"/>
              <w:rPr>
                <w:color w:val="000000"/>
              </w:rPr>
            </w:pPr>
            <w:r>
              <w:rPr>
                <w:color w:val="000000"/>
              </w:rPr>
              <w:t>c.</w:t>
            </w:r>
          </w:p>
        </w:tc>
        <w:tc>
          <w:tcPr>
            <w:tcW w:w="9822" w:type="dxa"/>
            <w:gridSpan w:val="3"/>
          </w:tcPr>
          <w:p w14:paraId="135AA5D4" w14:textId="77777777" w:rsidR="002A7914" w:rsidRDefault="00176A79">
            <w:pPr>
              <w:widowControl w:val="0"/>
              <w:ind w:left="283" w:right="226"/>
              <w:rPr>
                <w:color w:val="000000"/>
              </w:rPr>
            </w:pPr>
            <w:r>
              <w:rPr>
                <w:color w:val="000000"/>
              </w:rPr>
              <w:t xml:space="preserve">Allain TJ, van Oosterhout JJ, </w:t>
            </w:r>
            <w:r>
              <w:rPr>
                <w:b/>
                <w:color w:val="000000"/>
              </w:rPr>
              <w:t>Douglas GP</w:t>
            </w:r>
            <w:r>
              <w:rPr>
                <w:color w:val="000000"/>
              </w:rPr>
              <w:t xml:space="preserve">, </w:t>
            </w:r>
            <w:proofErr w:type="spellStart"/>
            <w:r>
              <w:rPr>
                <w:color w:val="000000"/>
              </w:rPr>
              <w:t>Joukes</w:t>
            </w:r>
            <w:proofErr w:type="spellEnd"/>
            <w:r>
              <w:rPr>
                <w:color w:val="000000"/>
              </w:rPr>
              <w:t xml:space="preserve"> S, Gadabu OJ, Darts C, Kapur A, Harries AD. Applying lessons learnt from the ‘DOTS’ Tuberculosis Model to monitoring and evaluating persons with diabetes mellitus in Blantyre, Malawi. Tropical medicine &amp; international health: TM &amp; IH. 2011 Jun 27; 16 (9):1077-84. PMID: 21702868</w:t>
            </w:r>
          </w:p>
        </w:tc>
      </w:tr>
      <w:tr w:rsidR="002A7914" w14:paraId="189924CE" w14:textId="77777777" w:rsidTr="00A113DF">
        <w:tc>
          <w:tcPr>
            <w:tcW w:w="276" w:type="dxa"/>
            <w:gridSpan w:val="2"/>
          </w:tcPr>
          <w:p w14:paraId="4D9252C1"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017D99FF" w14:textId="77777777" w:rsidR="002A7914" w:rsidRDefault="00176A79">
            <w:pPr>
              <w:widowControl w:val="0"/>
              <w:ind w:left="283" w:right="226"/>
              <w:rPr>
                <w:color w:val="000000"/>
              </w:rPr>
            </w:pPr>
            <w:r>
              <w:rPr>
                <w:color w:val="000000"/>
              </w:rPr>
              <w:t>d.</w:t>
            </w:r>
          </w:p>
        </w:tc>
        <w:tc>
          <w:tcPr>
            <w:tcW w:w="9822" w:type="dxa"/>
            <w:gridSpan w:val="3"/>
          </w:tcPr>
          <w:p w14:paraId="4A8983FC" w14:textId="77777777" w:rsidR="002A7914" w:rsidRDefault="00176A79">
            <w:pPr>
              <w:widowControl w:val="0"/>
              <w:ind w:left="283" w:right="226"/>
              <w:rPr>
                <w:color w:val="000000"/>
              </w:rPr>
            </w:pPr>
            <w:r>
              <w:rPr>
                <w:b/>
                <w:color w:val="000000"/>
              </w:rPr>
              <w:t>Douglas GP</w:t>
            </w:r>
            <w:r>
              <w:rPr>
                <w:color w:val="000000"/>
              </w:rPr>
              <w:t xml:space="preserve">, Gadabu OJ, </w:t>
            </w:r>
            <w:proofErr w:type="spellStart"/>
            <w:r>
              <w:rPr>
                <w:color w:val="000000"/>
              </w:rPr>
              <w:t>Joukes</w:t>
            </w:r>
            <w:proofErr w:type="spellEnd"/>
            <w:r>
              <w:rPr>
                <w:color w:val="000000"/>
              </w:rPr>
              <w:t xml:space="preserve"> S, Mumba S, McKay MV, Ben-Smith A, Jahn A, Schouten EJ, Landis-Lewis Z, van Oosterhout JJ, Allain TJ, Berger SD, Harries AD, </w:t>
            </w:r>
            <w:proofErr w:type="spellStart"/>
            <w:r>
              <w:rPr>
                <w:color w:val="000000"/>
              </w:rPr>
              <w:t>Chimbwandira</w:t>
            </w:r>
            <w:proofErr w:type="spellEnd"/>
            <w:r>
              <w:rPr>
                <w:color w:val="000000"/>
              </w:rPr>
              <w:t xml:space="preserve"> F. Using touchscreen electronic medical record systems to support and monitor national scale-up of antiretroviral therapy in Malawi. </w:t>
            </w:r>
            <w:proofErr w:type="spellStart"/>
            <w:r>
              <w:rPr>
                <w:color w:val="000000"/>
              </w:rPr>
              <w:t>PLoS</w:t>
            </w:r>
            <w:proofErr w:type="spellEnd"/>
            <w:r>
              <w:rPr>
                <w:color w:val="000000"/>
              </w:rPr>
              <w:t xml:space="preserve"> medicine. 2010 Aug 10; 7 (8). PMCID: PMC2919419</w:t>
            </w:r>
          </w:p>
        </w:tc>
      </w:tr>
      <w:tr w:rsidR="002A7914" w14:paraId="0DC5B8A2" w14:textId="77777777" w:rsidTr="00A113DF">
        <w:trPr>
          <w:gridAfter w:val="1"/>
          <w:wAfter w:w="277" w:type="dxa"/>
        </w:trPr>
        <w:tc>
          <w:tcPr>
            <w:tcW w:w="10523" w:type="dxa"/>
            <w:gridSpan w:val="6"/>
          </w:tcPr>
          <w:p w14:paraId="4625B200" w14:textId="77777777" w:rsidR="002A7914" w:rsidRDefault="002A7914">
            <w:pPr>
              <w:widowControl w:val="0"/>
              <w:rPr>
                <w:color w:val="000000"/>
              </w:rPr>
            </w:pPr>
          </w:p>
          <w:p w14:paraId="2F2A8890" w14:textId="77777777" w:rsidR="002A7914" w:rsidRDefault="002A7914">
            <w:pPr>
              <w:widowControl w:val="0"/>
              <w:rPr>
                <w:color w:val="000000"/>
              </w:rPr>
            </w:pPr>
            <w:bookmarkStart w:id="1" w:name="_heading=h.30j0zll" w:colFirst="0" w:colLast="0"/>
            <w:bookmarkEnd w:id="1"/>
          </w:p>
        </w:tc>
      </w:tr>
      <w:tr w:rsidR="002A7914" w14:paraId="5D2D4C03" w14:textId="77777777" w:rsidTr="00A113DF">
        <w:trPr>
          <w:gridAfter w:val="1"/>
          <w:wAfter w:w="277" w:type="dxa"/>
        </w:trPr>
        <w:tc>
          <w:tcPr>
            <w:tcW w:w="351" w:type="dxa"/>
            <w:gridSpan w:val="3"/>
          </w:tcPr>
          <w:p w14:paraId="7548DACB" w14:textId="77777777" w:rsidR="002A7914" w:rsidRDefault="00176A79">
            <w:pPr>
              <w:widowControl w:val="0"/>
              <w:rPr>
                <w:color w:val="000000"/>
              </w:rPr>
            </w:pPr>
            <w:r>
              <w:rPr>
                <w:color w:val="000000"/>
              </w:rPr>
              <w:t>2.</w:t>
            </w:r>
          </w:p>
        </w:tc>
        <w:tc>
          <w:tcPr>
            <w:tcW w:w="10172" w:type="dxa"/>
            <w:gridSpan w:val="3"/>
          </w:tcPr>
          <w:p w14:paraId="06FE8394" w14:textId="77777777" w:rsidR="002A7914" w:rsidRDefault="00176A79">
            <w:pPr>
              <w:widowControl w:val="0"/>
              <w:jc w:val="both"/>
              <w:rPr>
                <w:color w:val="000000"/>
              </w:rPr>
            </w:pPr>
            <w:r>
              <w:rPr>
                <w:b/>
                <w:color w:val="000000"/>
              </w:rPr>
              <w:t>Supporting Pharmaceutical Management and Supply Chain in Low-Resource Settings</w:t>
            </w:r>
            <w:r>
              <w:rPr>
                <w:color w:val="000000"/>
              </w:rPr>
              <w:t xml:space="preserve">: Access to essential medicines is a key part of the right to health. In order for medicines to improve health however, they need to be both available and used effectively and safely. To ensure that medications are available, low-and middle-income countries (LMICs) must be able to forecast medication needs and to purchase appropriate medications in sufficient quantities at a reasonable and affordable price -to be able to control and manage the entire medication supply chain. To address the challenges in medication management in </w:t>
            </w:r>
            <w:r>
              <w:rPr>
                <w:color w:val="000000"/>
              </w:rPr>
              <w:lastRenderedPageBreak/>
              <w:t xml:space="preserve">low-resource settings we have developed </w:t>
            </w:r>
            <w:proofErr w:type="spellStart"/>
            <w:r>
              <w:rPr>
                <w:color w:val="000000"/>
              </w:rPr>
              <w:t>RxMAGIC</w:t>
            </w:r>
            <w:proofErr w:type="spellEnd"/>
            <w:r>
              <w:rPr>
                <w:color w:val="000000"/>
              </w:rPr>
              <w:t>, the Prescription Management And General Inventory Control system. Rx MAGIC is currently being deployed in an underserved clinic in Pittsburgh, and elements of the system have been adapted for use in clinics in both Honduras and Malawi.</w:t>
            </w:r>
          </w:p>
          <w:p w14:paraId="6D0A728B" w14:textId="77777777" w:rsidR="002A7914" w:rsidRDefault="002A7914">
            <w:pPr>
              <w:widowControl w:val="0"/>
              <w:rPr>
                <w:color w:val="000000"/>
              </w:rPr>
            </w:pPr>
          </w:p>
          <w:p w14:paraId="44D93E06" w14:textId="77777777" w:rsidR="002A7914" w:rsidRDefault="002A7914">
            <w:pPr>
              <w:widowControl w:val="0"/>
              <w:rPr>
                <w:color w:val="000000"/>
              </w:rPr>
            </w:pPr>
          </w:p>
        </w:tc>
      </w:tr>
      <w:tr w:rsidR="002A7914" w14:paraId="36D9C94D" w14:textId="77777777" w:rsidTr="00A113DF">
        <w:tc>
          <w:tcPr>
            <w:tcW w:w="276" w:type="dxa"/>
            <w:gridSpan w:val="2"/>
          </w:tcPr>
          <w:p w14:paraId="2DC9F525"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37CE4F0E" w14:textId="77777777" w:rsidR="002A7914" w:rsidRDefault="00176A79">
            <w:pPr>
              <w:widowControl w:val="0"/>
              <w:ind w:left="283" w:right="226"/>
              <w:rPr>
                <w:color w:val="000000"/>
              </w:rPr>
            </w:pPr>
            <w:r>
              <w:rPr>
                <w:color w:val="000000"/>
              </w:rPr>
              <w:t>a.</w:t>
            </w:r>
          </w:p>
        </w:tc>
        <w:tc>
          <w:tcPr>
            <w:tcW w:w="9822" w:type="dxa"/>
            <w:gridSpan w:val="3"/>
          </w:tcPr>
          <w:p w14:paraId="00BB91EC" w14:textId="77777777" w:rsidR="002A7914" w:rsidRDefault="00176A79">
            <w:pPr>
              <w:widowControl w:val="0"/>
              <w:ind w:left="283" w:right="226"/>
              <w:rPr>
                <w:color w:val="000000"/>
              </w:rPr>
            </w:pPr>
            <w:r>
              <w:rPr>
                <w:color w:val="000000"/>
              </w:rPr>
              <w:t xml:space="preserve">Mtonga TM, </w:t>
            </w:r>
            <w:r>
              <w:rPr>
                <w:b/>
                <w:color w:val="000000"/>
              </w:rPr>
              <w:t>Douglas GP</w:t>
            </w:r>
            <w:r>
              <w:rPr>
                <w:color w:val="000000"/>
              </w:rPr>
              <w:t xml:space="preserve">. Standardizing Representation of Medication in LMICs: Case of Malawi and </w:t>
            </w:r>
            <w:proofErr w:type="spellStart"/>
            <w:r>
              <w:rPr>
                <w:color w:val="000000"/>
              </w:rPr>
              <w:t>RxNORM</w:t>
            </w:r>
            <w:proofErr w:type="spellEnd"/>
            <w:r>
              <w:rPr>
                <w:color w:val="000000"/>
              </w:rPr>
              <w:t xml:space="preserve">. Journal of Health Informatics in Africa 6 (2), 51-‌, 2019. </w:t>
            </w:r>
            <w:proofErr w:type="spellStart"/>
            <w:r>
              <w:rPr>
                <w:color w:val="000000"/>
              </w:rPr>
              <w:t>doi</w:t>
            </w:r>
            <w:proofErr w:type="spellEnd"/>
            <w:r>
              <w:rPr>
                <w:color w:val="000000"/>
              </w:rPr>
              <w:t>: 10.12856/JHIA-2019-v6-i2-230</w:t>
            </w:r>
          </w:p>
        </w:tc>
      </w:tr>
      <w:tr w:rsidR="002A7914" w14:paraId="32721EAB" w14:textId="77777777" w:rsidTr="00A113DF">
        <w:tc>
          <w:tcPr>
            <w:tcW w:w="276" w:type="dxa"/>
            <w:gridSpan w:val="2"/>
          </w:tcPr>
          <w:p w14:paraId="5C0C5C26"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6138068E" w14:textId="77777777" w:rsidR="002A7914" w:rsidRDefault="00176A79">
            <w:pPr>
              <w:widowControl w:val="0"/>
              <w:ind w:left="283" w:right="226"/>
              <w:rPr>
                <w:color w:val="000000"/>
              </w:rPr>
            </w:pPr>
            <w:r>
              <w:rPr>
                <w:color w:val="000000"/>
              </w:rPr>
              <w:t>b.</w:t>
            </w:r>
          </w:p>
        </w:tc>
        <w:tc>
          <w:tcPr>
            <w:tcW w:w="9822" w:type="dxa"/>
            <w:gridSpan w:val="3"/>
          </w:tcPr>
          <w:p w14:paraId="3D604CE1" w14:textId="77777777" w:rsidR="002A7914" w:rsidRDefault="00176A79">
            <w:pPr>
              <w:widowControl w:val="0"/>
              <w:ind w:left="283" w:right="226"/>
              <w:rPr>
                <w:color w:val="000000"/>
              </w:rPr>
            </w:pPr>
            <w:r>
              <w:rPr>
                <w:color w:val="000000"/>
              </w:rPr>
              <w:t xml:space="preserve">Fisher AM, Ding MQ, Hochheiser H, </w:t>
            </w:r>
            <w:r>
              <w:rPr>
                <w:b/>
                <w:color w:val="000000"/>
              </w:rPr>
              <w:t>Douglas GP</w:t>
            </w:r>
            <w:r>
              <w:rPr>
                <w:color w:val="000000"/>
              </w:rPr>
              <w:t xml:space="preserve">.    Measuring time utilization of pharmacists in the Birmingham Free Clinic dispensary.    BMC Health Services Research. 2016 Sept </w:t>
            </w:r>
            <w:proofErr w:type="gramStart"/>
            <w:r>
              <w:rPr>
                <w:color w:val="000000"/>
              </w:rPr>
              <w:t>29;16:529</w:t>
            </w:r>
            <w:proofErr w:type="gramEnd"/>
            <w:r>
              <w:rPr>
                <w:color w:val="000000"/>
              </w:rPr>
              <w:t xml:space="preserve">. </w:t>
            </w:r>
            <w:proofErr w:type="spellStart"/>
            <w:r>
              <w:rPr>
                <w:color w:val="000000"/>
              </w:rPr>
              <w:t>doi</w:t>
            </w:r>
            <w:proofErr w:type="spellEnd"/>
            <w:r>
              <w:rPr>
                <w:color w:val="000000"/>
              </w:rPr>
              <w:t>: 10.1186/s12913-016-1787-6.</w:t>
            </w:r>
          </w:p>
        </w:tc>
      </w:tr>
      <w:tr w:rsidR="002A7914" w14:paraId="755AA618" w14:textId="77777777" w:rsidTr="00A113DF">
        <w:tc>
          <w:tcPr>
            <w:tcW w:w="276" w:type="dxa"/>
            <w:gridSpan w:val="2"/>
          </w:tcPr>
          <w:p w14:paraId="5F0F522C"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69D049D5" w14:textId="77777777" w:rsidR="002A7914" w:rsidRDefault="00176A79">
            <w:pPr>
              <w:widowControl w:val="0"/>
              <w:ind w:left="283" w:right="226"/>
              <w:rPr>
                <w:color w:val="000000"/>
              </w:rPr>
            </w:pPr>
            <w:r>
              <w:rPr>
                <w:color w:val="000000"/>
              </w:rPr>
              <w:t>c.</w:t>
            </w:r>
          </w:p>
        </w:tc>
        <w:tc>
          <w:tcPr>
            <w:tcW w:w="9822" w:type="dxa"/>
            <w:gridSpan w:val="3"/>
          </w:tcPr>
          <w:p w14:paraId="76AD6723" w14:textId="77777777" w:rsidR="002A7914" w:rsidRDefault="00176A79">
            <w:pPr>
              <w:widowControl w:val="0"/>
              <w:ind w:left="283" w:right="226"/>
              <w:rPr>
                <w:color w:val="000000"/>
              </w:rPr>
            </w:pPr>
            <w:r>
              <w:rPr>
                <w:color w:val="000000"/>
              </w:rPr>
              <w:t xml:space="preserve">Fisher A, Herbert MI, </w:t>
            </w:r>
            <w:r>
              <w:rPr>
                <w:b/>
                <w:color w:val="000000"/>
              </w:rPr>
              <w:t>Douglas GP</w:t>
            </w:r>
            <w:r>
              <w:rPr>
                <w:color w:val="000000"/>
              </w:rPr>
              <w:t xml:space="preserve">. Understanding the dispensary workflow at the Birmingham Free Clinic: A proposed framework for an informatics intervention. BMC Health Serv Res. 2016 Feb 19; 16:69. PMCID: PMC4759722. </w:t>
            </w:r>
            <w:proofErr w:type="spellStart"/>
            <w:r>
              <w:rPr>
                <w:color w:val="000000"/>
              </w:rPr>
              <w:t>doi</w:t>
            </w:r>
            <w:proofErr w:type="spellEnd"/>
            <w:r>
              <w:rPr>
                <w:color w:val="000000"/>
              </w:rPr>
              <w:t>: 10.1186/s12913-016-1308-7</w:t>
            </w:r>
          </w:p>
        </w:tc>
      </w:tr>
      <w:tr w:rsidR="002A7914" w14:paraId="40D216A0" w14:textId="77777777" w:rsidTr="00A113DF">
        <w:tc>
          <w:tcPr>
            <w:tcW w:w="276" w:type="dxa"/>
            <w:gridSpan w:val="2"/>
          </w:tcPr>
          <w:p w14:paraId="31A2D4A4"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4EC45D09" w14:textId="77777777" w:rsidR="002A7914" w:rsidRDefault="00176A79">
            <w:pPr>
              <w:widowControl w:val="0"/>
              <w:ind w:left="283" w:right="226"/>
              <w:rPr>
                <w:color w:val="000000"/>
              </w:rPr>
            </w:pPr>
            <w:r>
              <w:rPr>
                <w:color w:val="000000"/>
              </w:rPr>
              <w:t>d.</w:t>
            </w:r>
          </w:p>
        </w:tc>
        <w:tc>
          <w:tcPr>
            <w:tcW w:w="9822" w:type="dxa"/>
            <w:gridSpan w:val="3"/>
          </w:tcPr>
          <w:p w14:paraId="5E320AB8" w14:textId="77777777" w:rsidR="002A7914" w:rsidRDefault="00176A79">
            <w:pPr>
              <w:widowControl w:val="0"/>
              <w:ind w:left="283" w:right="226"/>
              <w:rPr>
                <w:color w:val="000000"/>
              </w:rPr>
            </w:pPr>
            <w:r>
              <w:rPr>
                <w:color w:val="000000"/>
              </w:rPr>
              <w:t xml:space="preserve">Kauffman YS, Connor SE, Jonkman L, Kane-Gill SL, </w:t>
            </w:r>
            <w:proofErr w:type="spellStart"/>
            <w:r>
              <w:rPr>
                <w:color w:val="000000"/>
              </w:rPr>
              <w:t>Himisi</w:t>
            </w:r>
            <w:proofErr w:type="spellEnd"/>
            <w:r>
              <w:rPr>
                <w:color w:val="000000"/>
              </w:rPr>
              <w:t xml:space="preserve"> T, Gillespie EM, </w:t>
            </w:r>
            <w:r>
              <w:rPr>
                <w:b/>
                <w:color w:val="000000"/>
              </w:rPr>
              <w:t>Douglas GP</w:t>
            </w:r>
            <w:r>
              <w:rPr>
                <w:color w:val="000000"/>
              </w:rPr>
              <w:t>. Retrospective Evaluation of Adverse Drug Reactions in a Central Hospital in Malawi. Enliven Archive. 2014 Nov 1; 1 (1):1-4.</w:t>
            </w:r>
          </w:p>
        </w:tc>
      </w:tr>
      <w:tr w:rsidR="002A7914" w14:paraId="61967282" w14:textId="77777777" w:rsidTr="00A113DF">
        <w:trPr>
          <w:gridAfter w:val="1"/>
          <w:wAfter w:w="277" w:type="dxa"/>
        </w:trPr>
        <w:tc>
          <w:tcPr>
            <w:tcW w:w="10523" w:type="dxa"/>
            <w:gridSpan w:val="6"/>
          </w:tcPr>
          <w:p w14:paraId="56BAD389" w14:textId="77777777" w:rsidR="002A7914" w:rsidRDefault="002A7914">
            <w:pPr>
              <w:widowControl w:val="0"/>
              <w:rPr>
                <w:color w:val="000000"/>
              </w:rPr>
            </w:pPr>
          </w:p>
          <w:p w14:paraId="58521FAF" w14:textId="77777777" w:rsidR="002A7914" w:rsidRDefault="002A7914">
            <w:pPr>
              <w:widowControl w:val="0"/>
              <w:rPr>
                <w:color w:val="000000"/>
              </w:rPr>
            </w:pPr>
          </w:p>
        </w:tc>
      </w:tr>
      <w:tr w:rsidR="002A7914" w14:paraId="50D7CF0D" w14:textId="77777777" w:rsidTr="00A113DF">
        <w:trPr>
          <w:gridAfter w:val="1"/>
          <w:wAfter w:w="277" w:type="dxa"/>
        </w:trPr>
        <w:tc>
          <w:tcPr>
            <w:tcW w:w="351" w:type="dxa"/>
            <w:gridSpan w:val="3"/>
          </w:tcPr>
          <w:p w14:paraId="63B3E1AE" w14:textId="77777777" w:rsidR="002A7914" w:rsidRDefault="00176A79">
            <w:pPr>
              <w:widowControl w:val="0"/>
              <w:rPr>
                <w:color w:val="000000"/>
              </w:rPr>
            </w:pPr>
            <w:r>
              <w:rPr>
                <w:color w:val="000000"/>
              </w:rPr>
              <w:t>3.</w:t>
            </w:r>
          </w:p>
        </w:tc>
        <w:tc>
          <w:tcPr>
            <w:tcW w:w="10172" w:type="dxa"/>
            <w:gridSpan w:val="3"/>
          </w:tcPr>
          <w:p w14:paraId="06E5C51A" w14:textId="77777777" w:rsidR="002A7914" w:rsidRDefault="00176A79">
            <w:pPr>
              <w:widowControl w:val="0"/>
              <w:rPr>
                <w:color w:val="000000"/>
              </w:rPr>
            </w:pPr>
            <w:r>
              <w:rPr>
                <w:b/>
                <w:color w:val="000000"/>
              </w:rPr>
              <w:t>Improving Clinical Laboratory Workflow in Low-income Country Settings</w:t>
            </w:r>
            <w:r>
              <w:rPr>
                <w:color w:val="000000"/>
              </w:rPr>
              <w:t>: Adequate laboratory infrastructure in sub-Saharan Africa is vital for tackling the burden of infectious diseases such as human immunodeficiency virus and acquired immune deficiency syndrome, malaria, and tuberculosis. Despite the need for laboratory testing in addressing the infectious disease burden, laboratories are ill-integrated into the diagnostic and care delivery process in low-resource settings. We have conducted an assessment of perceived challenges across the entire value stream at a tertiary hospital in Malawi. Results show that while there are challenges in the analytical phase, a great proportion of the challenges exist in the pre- and post-analytical phases of the diagnostic value stream. Based on this understanding we have proposed a set of health IT interventions, which we hypothesize would address many of these challenges. We have complemented the functionality of an existing lab information management system by adding lab test order-entry functionality from the bedside, and results reporting to the bedside. Our future plans include evaluating the impact of these systems on turn-around time and reduction of non-viable samples arriving at the lab.</w:t>
            </w:r>
          </w:p>
          <w:p w14:paraId="37C737B5" w14:textId="77777777" w:rsidR="002A7914" w:rsidRDefault="002A7914">
            <w:pPr>
              <w:widowControl w:val="0"/>
              <w:rPr>
                <w:color w:val="000000"/>
              </w:rPr>
            </w:pPr>
          </w:p>
          <w:p w14:paraId="70B0FC9C" w14:textId="77777777" w:rsidR="002A7914" w:rsidRDefault="002A7914">
            <w:pPr>
              <w:widowControl w:val="0"/>
              <w:rPr>
                <w:color w:val="000000"/>
              </w:rPr>
            </w:pPr>
          </w:p>
        </w:tc>
      </w:tr>
      <w:tr w:rsidR="002A7914" w14:paraId="422863EB" w14:textId="77777777" w:rsidTr="00A113DF">
        <w:tc>
          <w:tcPr>
            <w:tcW w:w="263" w:type="dxa"/>
          </w:tcPr>
          <w:p w14:paraId="022F1299" w14:textId="77777777" w:rsidR="002A7914" w:rsidRDefault="002A7914">
            <w:pPr>
              <w:widowControl w:val="0"/>
              <w:pBdr>
                <w:top w:val="nil"/>
                <w:left w:val="nil"/>
                <w:bottom w:val="nil"/>
                <w:right w:val="nil"/>
                <w:between w:val="nil"/>
              </w:pBdr>
              <w:spacing w:line="276" w:lineRule="auto"/>
              <w:rPr>
                <w:color w:val="000000"/>
              </w:rPr>
            </w:pPr>
          </w:p>
        </w:tc>
        <w:tc>
          <w:tcPr>
            <w:tcW w:w="721" w:type="dxa"/>
            <w:gridSpan w:val="4"/>
          </w:tcPr>
          <w:p w14:paraId="62E92822" w14:textId="77777777" w:rsidR="002A7914" w:rsidRDefault="00176A79">
            <w:pPr>
              <w:widowControl w:val="0"/>
              <w:ind w:left="283" w:right="226"/>
              <w:rPr>
                <w:color w:val="000000"/>
              </w:rPr>
            </w:pPr>
            <w:r>
              <w:rPr>
                <w:color w:val="000000"/>
              </w:rPr>
              <w:t>a.</w:t>
            </w:r>
          </w:p>
        </w:tc>
        <w:tc>
          <w:tcPr>
            <w:tcW w:w="9816" w:type="dxa"/>
            <w:gridSpan w:val="2"/>
          </w:tcPr>
          <w:p w14:paraId="25B5952B" w14:textId="181C7E26" w:rsidR="002A7914" w:rsidRDefault="00176A79">
            <w:pPr>
              <w:widowControl w:val="0"/>
              <w:ind w:left="283" w:right="226"/>
              <w:rPr>
                <w:color w:val="000000"/>
              </w:rPr>
            </w:pPr>
            <w:r>
              <w:rPr>
                <w:color w:val="000000"/>
              </w:rPr>
              <w:t>Mtonga TM, (2020). Design, Development, and Evaluation of a Laboratory Order Entry and Results Review Application for a Low-Resource Inpatient Setting. Unpublished PhD dissertation, University of Pittsburgh.</w:t>
            </w:r>
            <w:r w:rsidR="00765E9D">
              <w:rPr>
                <w:color w:val="000000"/>
              </w:rPr>
              <w:t xml:space="preserve"> </w:t>
            </w:r>
            <w:r>
              <w:rPr>
                <w:color w:val="000000"/>
              </w:rPr>
              <w:t xml:space="preserve">(PhD Advisor: </w:t>
            </w:r>
            <w:r>
              <w:rPr>
                <w:b/>
                <w:color w:val="000000"/>
              </w:rPr>
              <w:t>Douglas GP</w:t>
            </w:r>
            <w:r>
              <w:rPr>
                <w:color w:val="000000"/>
              </w:rPr>
              <w:t>)</w:t>
            </w:r>
          </w:p>
        </w:tc>
      </w:tr>
      <w:tr w:rsidR="002A7914" w14:paraId="4D186CF8" w14:textId="77777777" w:rsidTr="00A113DF">
        <w:tc>
          <w:tcPr>
            <w:tcW w:w="263" w:type="dxa"/>
          </w:tcPr>
          <w:p w14:paraId="228E0B49" w14:textId="77777777" w:rsidR="002A7914" w:rsidRDefault="002A7914">
            <w:pPr>
              <w:widowControl w:val="0"/>
              <w:pBdr>
                <w:top w:val="nil"/>
                <w:left w:val="nil"/>
                <w:bottom w:val="nil"/>
                <w:right w:val="nil"/>
                <w:between w:val="nil"/>
              </w:pBdr>
              <w:spacing w:line="276" w:lineRule="auto"/>
              <w:rPr>
                <w:color w:val="000000"/>
              </w:rPr>
            </w:pPr>
          </w:p>
        </w:tc>
        <w:tc>
          <w:tcPr>
            <w:tcW w:w="721" w:type="dxa"/>
            <w:gridSpan w:val="4"/>
          </w:tcPr>
          <w:p w14:paraId="3E53ABFD" w14:textId="77777777" w:rsidR="002A7914" w:rsidRDefault="00176A79">
            <w:pPr>
              <w:widowControl w:val="0"/>
              <w:ind w:left="283" w:right="226"/>
              <w:rPr>
                <w:color w:val="000000"/>
              </w:rPr>
            </w:pPr>
            <w:r>
              <w:rPr>
                <w:color w:val="000000"/>
              </w:rPr>
              <w:t>b.</w:t>
            </w:r>
          </w:p>
        </w:tc>
        <w:tc>
          <w:tcPr>
            <w:tcW w:w="9816" w:type="dxa"/>
            <w:gridSpan w:val="2"/>
          </w:tcPr>
          <w:p w14:paraId="2AF9D2CB" w14:textId="77777777" w:rsidR="002A7914" w:rsidRDefault="00176A79">
            <w:pPr>
              <w:widowControl w:val="0"/>
              <w:ind w:left="283" w:right="226"/>
              <w:rPr>
                <w:color w:val="000000"/>
              </w:rPr>
            </w:pPr>
            <w:r>
              <w:rPr>
                <w:color w:val="000000"/>
              </w:rPr>
              <w:t xml:space="preserve">Mtonga TM, </w:t>
            </w:r>
            <w:proofErr w:type="spellStart"/>
            <w:r>
              <w:rPr>
                <w:color w:val="000000"/>
              </w:rPr>
              <w:t>Choonara</w:t>
            </w:r>
            <w:proofErr w:type="spellEnd"/>
            <w:r>
              <w:rPr>
                <w:color w:val="000000"/>
              </w:rPr>
              <w:t xml:space="preserve"> FE, Espino JU, </w:t>
            </w:r>
            <w:proofErr w:type="spellStart"/>
            <w:r>
              <w:rPr>
                <w:color w:val="000000"/>
              </w:rPr>
              <w:t>Kachaje</w:t>
            </w:r>
            <w:proofErr w:type="spellEnd"/>
            <w:r>
              <w:rPr>
                <w:color w:val="000000"/>
              </w:rPr>
              <w:t xml:space="preserve"> C, </w:t>
            </w:r>
            <w:proofErr w:type="spellStart"/>
            <w:r>
              <w:rPr>
                <w:color w:val="000000"/>
              </w:rPr>
              <w:t>Kapundi</w:t>
            </w:r>
            <w:proofErr w:type="spellEnd"/>
            <w:r>
              <w:rPr>
                <w:color w:val="000000"/>
              </w:rPr>
              <w:t xml:space="preserve"> K, </w:t>
            </w:r>
            <w:proofErr w:type="spellStart"/>
            <w:r>
              <w:rPr>
                <w:color w:val="000000"/>
              </w:rPr>
              <w:t>Mengezi</w:t>
            </w:r>
            <w:proofErr w:type="spellEnd"/>
            <w:r>
              <w:rPr>
                <w:color w:val="000000"/>
              </w:rPr>
              <w:t xml:space="preserve"> TE, Mumba SL, </w:t>
            </w:r>
            <w:r>
              <w:rPr>
                <w:b/>
                <w:color w:val="000000"/>
              </w:rPr>
              <w:t>Douglas GP</w:t>
            </w:r>
            <w:r>
              <w:rPr>
                <w:color w:val="000000"/>
              </w:rPr>
              <w:t>. Design and implementation of a clinical Laboratory Information System. African Journal of Laboratory Medicine 8 (1), 1-7</w:t>
            </w:r>
          </w:p>
        </w:tc>
      </w:tr>
      <w:tr w:rsidR="002A7914" w14:paraId="4AA235AF" w14:textId="77777777" w:rsidTr="00A113DF">
        <w:tc>
          <w:tcPr>
            <w:tcW w:w="263" w:type="dxa"/>
          </w:tcPr>
          <w:p w14:paraId="3D193AEA" w14:textId="77777777" w:rsidR="002A7914" w:rsidRDefault="002A7914">
            <w:pPr>
              <w:widowControl w:val="0"/>
              <w:pBdr>
                <w:top w:val="nil"/>
                <w:left w:val="nil"/>
                <w:bottom w:val="nil"/>
                <w:right w:val="nil"/>
                <w:between w:val="nil"/>
              </w:pBdr>
              <w:spacing w:line="276" w:lineRule="auto"/>
              <w:rPr>
                <w:color w:val="000000"/>
              </w:rPr>
            </w:pPr>
          </w:p>
        </w:tc>
        <w:tc>
          <w:tcPr>
            <w:tcW w:w="721" w:type="dxa"/>
            <w:gridSpan w:val="4"/>
          </w:tcPr>
          <w:p w14:paraId="0BF5EE2A" w14:textId="77777777" w:rsidR="002A7914" w:rsidRDefault="00176A79">
            <w:pPr>
              <w:widowControl w:val="0"/>
              <w:ind w:left="283" w:right="226"/>
              <w:rPr>
                <w:color w:val="000000"/>
              </w:rPr>
            </w:pPr>
            <w:r>
              <w:rPr>
                <w:color w:val="000000"/>
              </w:rPr>
              <w:t>c.</w:t>
            </w:r>
          </w:p>
        </w:tc>
        <w:tc>
          <w:tcPr>
            <w:tcW w:w="9816" w:type="dxa"/>
            <w:gridSpan w:val="2"/>
          </w:tcPr>
          <w:p w14:paraId="74BE7BD9" w14:textId="77777777" w:rsidR="002A7914" w:rsidRDefault="00176A79">
            <w:pPr>
              <w:widowControl w:val="0"/>
              <w:ind w:left="283" w:right="226"/>
              <w:rPr>
                <w:color w:val="000000"/>
              </w:rPr>
            </w:pPr>
            <w:r>
              <w:rPr>
                <w:color w:val="000000"/>
              </w:rPr>
              <w:t xml:space="preserve">Petrose LG, Fisher AM, </w:t>
            </w:r>
            <w:r>
              <w:rPr>
                <w:b/>
                <w:color w:val="000000"/>
              </w:rPr>
              <w:t>Douglas GP</w:t>
            </w:r>
            <w:r>
              <w:rPr>
                <w:color w:val="000000"/>
              </w:rPr>
              <w:t xml:space="preserve">, Terry MA, Muula A, </w:t>
            </w:r>
            <w:proofErr w:type="spellStart"/>
            <w:r>
              <w:rPr>
                <w:color w:val="000000"/>
              </w:rPr>
              <w:t>Chawani</w:t>
            </w:r>
            <w:proofErr w:type="spellEnd"/>
            <w:r>
              <w:rPr>
                <w:color w:val="000000"/>
              </w:rPr>
              <w:t xml:space="preserve"> MS, </w:t>
            </w:r>
            <w:proofErr w:type="spellStart"/>
            <w:r>
              <w:rPr>
                <w:color w:val="000000"/>
              </w:rPr>
              <w:t>Limula</w:t>
            </w:r>
            <w:proofErr w:type="spellEnd"/>
            <w:r>
              <w:rPr>
                <w:color w:val="000000"/>
              </w:rPr>
              <w:t xml:space="preserve"> H, Driessen J. Assessing Perceived Challenges to Laboratory Testing at Kamuzu Central Hospital. Am J Trop Med </w:t>
            </w:r>
            <w:proofErr w:type="spellStart"/>
            <w:r>
              <w:rPr>
                <w:color w:val="000000"/>
              </w:rPr>
              <w:t>Hyg</w:t>
            </w:r>
            <w:proofErr w:type="spellEnd"/>
            <w:r>
              <w:rPr>
                <w:color w:val="000000"/>
              </w:rPr>
              <w:t>. 2016 Mar 28; 15 (0867). PMID: 27022150</w:t>
            </w:r>
          </w:p>
        </w:tc>
      </w:tr>
      <w:tr w:rsidR="002A7914" w14:paraId="446F3B5E" w14:textId="77777777" w:rsidTr="00A113DF">
        <w:tc>
          <w:tcPr>
            <w:tcW w:w="263" w:type="dxa"/>
          </w:tcPr>
          <w:p w14:paraId="4BF24C2C" w14:textId="77777777" w:rsidR="002A7914" w:rsidRDefault="002A7914">
            <w:pPr>
              <w:widowControl w:val="0"/>
              <w:pBdr>
                <w:top w:val="nil"/>
                <w:left w:val="nil"/>
                <w:bottom w:val="nil"/>
                <w:right w:val="nil"/>
                <w:between w:val="nil"/>
              </w:pBdr>
              <w:spacing w:line="276" w:lineRule="auto"/>
              <w:rPr>
                <w:color w:val="000000"/>
              </w:rPr>
            </w:pPr>
          </w:p>
        </w:tc>
        <w:tc>
          <w:tcPr>
            <w:tcW w:w="721" w:type="dxa"/>
            <w:gridSpan w:val="4"/>
          </w:tcPr>
          <w:p w14:paraId="29610668" w14:textId="77777777" w:rsidR="002A7914" w:rsidRDefault="00176A79">
            <w:pPr>
              <w:widowControl w:val="0"/>
              <w:ind w:left="283" w:right="226"/>
              <w:rPr>
                <w:color w:val="000000"/>
              </w:rPr>
            </w:pPr>
            <w:r>
              <w:rPr>
                <w:color w:val="000000"/>
              </w:rPr>
              <w:t>d.</w:t>
            </w:r>
          </w:p>
        </w:tc>
        <w:tc>
          <w:tcPr>
            <w:tcW w:w="9816" w:type="dxa"/>
            <w:gridSpan w:val="2"/>
          </w:tcPr>
          <w:p w14:paraId="0A3F9622" w14:textId="77777777" w:rsidR="002A7914" w:rsidRDefault="00176A79">
            <w:pPr>
              <w:widowControl w:val="0"/>
              <w:ind w:left="283" w:right="226"/>
              <w:rPr>
                <w:color w:val="000000"/>
              </w:rPr>
            </w:pPr>
            <w:r>
              <w:rPr>
                <w:color w:val="000000"/>
              </w:rPr>
              <w:t xml:space="preserve">Driessen J, </w:t>
            </w:r>
            <w:proofErr w:type="spellStart"/>
            <w:r>
              <w:rPr>
                <w:color w:val="000000"/>
              </w:rPr>
              <w:t>Limula</w:t>
            </w:r>
            <w:proofErr w:type="spellEnd"/>
            <w:r>
              <w:rPr>
                <w:color w:val="000000"/>
              </w:rPr>
              <w:t xml:space="preserve"> H, Gadabu OJ, </w:t>
            </w:r>
            <w:proofErr w:type="spellStart"/>
            <w:r>
              <w:rPr>
                <w:color w:val="000000"/>
              </w:rPr>
              <w:t>Gamadzi</w:t>
            </w:r>
            <w:proofErr w:type="spellEnd"/>
            <w:r>
              <w:rPr>
                <w:color w:val="000000"/>
              </w:rPr>
              <w:t xml:space="preserve"> G, </w:t>
            </w:r>
            <w:proofErr w:type="spellStart"/>
            <w:r>
              <w:rPr>
                <w:color w:val="000000"/>
              </w:rPr>
              <w:t>Chitandale</w:t>
            </w:r>
            <w:proofErr w:type="spellEnd"/>
            <w:r>
              <w:rPr>
                <w:color w:val="000000"/>
              </w:rPr>
              <w:t xml:space="preserve"> E, Ben-Smith A, </w:t>
            </w:r>
            <w:r>
              <w:rPr>
                <w:b/>
                <w:color w:val="000000"/>
              </w:rPr>
              <w:t>Douglas GP</w:t>
            </w:r>
            <w:r>
              <w:rPr>
                <w:color w:val="000000"/>
              </w:rPr>
              <w:t xml:space="preserve">, Alide N. Bridging the Gap Between Clinical and Laboratory services in a low-resolution setting: Challenges and potential informatics solutions within Kamuzu Central Hospital, A Tertiary Health facility in Lilongwe, Malawi. African Journal of Laboratory Medicine. 2015 Jun 11; 4 (1):1-7. </w:t>
            </w:r>
            <w:proofErr w:type="spellStart"/>
            <w:r>
              <w:rPr>
                <w:color w:val="000000"/>
              </w:rPr>
              <w:t>doi</w:t>
            </w:r>
            <w:proofErr w:type="spellEnd"/>
            <w:r>
              <w:rPr>
                <w:color w:val="000000"/>
              </w:rPr>
              <w:t>: 10.4102/ajlm.v4i1.176</w:t>
            </w:r>
          </w:p>
        </w:tc>
      </w:tr>
      <w:tr w:rsidR="002A7914" w14:paraId="6B3AD59B" w14:textId="77777777" w:rsidTr="00A113DF">
        <w:trPr>
          <w:gridAfter w:val="1"/>
          <w:wAfter w:w="277" w:type="dxa"/>
        </w:trPr>
        <w:tc>
          <w:tcPr>
            <w:tcW w:w="10523" w:type="dxa"/>
            <w:gridSpan w:val="6"/>
          </w:tcPr>
          <w:p w14:paraId="7A4554A5" w14:textId="77777777" w:rsidR="002A7914" w:rsidRDefault="002A7914">
            <w:pPr>
              <w:widowControl w:val="0"/>
              <w:rPr>
                <w:color w:val="000000"/>
              </w:rPr>
            </w:pPr>
          </w:p>
          <w:p w14:paraId="50CD336E" w14:textId="77777777" w:rsidR="002A7914" w:rsidRDefault="00176A79">
            <w:pPr>
              <w:widowControl w:val="0"/>
              <w:rPr>
                <w:color w:val="000000"/>
              </w:rPr>
            </w:pPr>
            <w:r>
              <w:rPr>
                <w:color w:val="000000"/>
              </w:rPr>
              <w:tab/>
            </w:r>
          </w:p>
        </w:tc>
      </w:tr>
      <w:tr w:rsidR="002A7914" w14:paraId="72951D6B" w14:textId="77777777" w:rsidTr="00A113DF">
        <w:trPr>
          <w:gridAfter w:val="1"/>
          <w:wAfter w:w="277" w:type="dxa"/>
        </w:trPr>
        <w:tc>
          <w:tcPr>
            <w:tcW w:w="351" w:type="dxa"/>
            <w:gridSpan w:val="3"/>
          </w:tcPr>
          <w:p w14:paraId="4B21828F" w14:textId="77777777" w:rsidR="002A7914" w:rsidRDefault="00176A79">
            <w:pPr>
              <w:widowControl w:val="0"/>
              <w:rPr>
                <w:color w:val="000000"/>
              </w:rPr>
            </w:pPr>
            <w:r>
              <w:rPr>
                <w:color w:val="000000"/>
              </w:rPr>
              <w:t>4.</w:t>
            </w:r>
          </w:p>
        </w:tc>
        <w:tc>
          <w:tcPr>
            <w:tcW w:w="10172" w:type="dxa"/>
            <w:gridSpan w:val="3"/>
          </w:tcPr>
          <w:p w14:paraId="5F9A8D7A" w14:textId="77777777" w:rsidR="002A7914" w:rsidRDefault="00176A79">
            <w:pPr>
              <w:widowControl w:val="0"/>
              <w:jc w:val="both"/>
              <w:rPr>
                <w:color w:val="000000"/>
              </w:rPr>
            </w:pPr>
            <w:r>
              <w:rPr>
                <w:b/>
                <w:color w:val="000000"/>
              </w:rPr>
              <w:t>Developing EMR Sustainability Models for Low-Income Countries</w:t>
            </w:r>
            <w:r>
              <w:rPr>
                <w:color w:val="000000"/>
              </w:rPr>
              <w:t xml:space="preserve">: Electronic medical record (EMR) systems have the potential to improve health outcomes as well as reduce healthcare delivery costs. However, little is known about the costs of implementing and operating EMRs in an LIC hospital, and the financial benefits have not been studied. We re-imagine the EMR as a series of structured, interconnected informatics interventions that can be individually modeled. Using concepts taken from the field of lean healthcare we assess waste in current processes, propose health IT solutions to reduce or eliminate the </w:t>
            </w:r>
            <w:r>
              <w:rPr>
                <w:color w:val="000000"/>
              </w:rPr>
              <w:lastRenderedPageBreak/>
              <w:t>waste, and apply a net present value approach to calculating time to break-even and return on investment. Based on this approach our model has shown potential for savings generated by health IT interventions to entirely recover the cost of the intervention in less than 3 years. We believe this approach provides a model for sustainability of health IT interventions in LIC settings.  We plan to apply this approach to assess the financial sustainability of our laboratory information system interventions.</w:t>
            </w:r>
          </w:p>
          <w:p w14:paraId="47325FE1" w14:textId="77777777" w:rsidR="002A7914" w:rsidRDefault="002A7914">
            <w:pPr>
              <w:widowControl w:val="0"/>
              <w:rPr>
                <w:color w:val="000000"/>
              </w:rPr>
            </w:pPr>
          </w:p>
        </w:tc>
      </w:tr>
      <w:tr w:rsidR="002A7914" w14:paraId="71F4ED37" w14:textId="77777777" w:rsidTr="00A113DF">
        <w:tc>
          <w:tcPr>
            <w:tcW w:w="276" w:type="dxa"/>
            <w:gridSpan w:val="2"/>
          </w:tcPr>
          <w:p w14:paraId="5D96742D"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6FF3C82C" w14:textId="77777777" w:rsidR="002A7914" w:rsidRDefault="00176A79">
            <w:pPr>
              <w:widowControl w:val="0"/>
              <w:ind w:left="283" w:right="226"/>
              <w:rPr>
                <w:color w:val="000000"/>
              </w:rPr>
            </w:pPr>
            <w:r>
              <w:rPr>
                <w:color w:val="000000"/>
              </w:rPr>
              <w:t>a.</w:t>
            </w:r>
          </w:p>
        </w:tc>
        <w:tc>
          <w:tcPr>
            <w:tcW w:w="9822" w:type="dxa"/>
            <w:gridSpan w:val="3"/>
          </w:tcPr>
          <w:p w14:paraId="76533A6A" w14:textId="77777777" w:rsidR="002A7914" w:rsidRDefault="00176A79">
            <w:pPr>
              <w:widowControl w:val="0"/>
              <w:ind w:left="283" w:right="226"/>
              <w:rPr>
                <w:color w:val="000000"/>
              </w:rPr>
            </w:pPr>
            <w:r>
              <w:rPr>
                <w:color w:val="000000"/>
              </w:rPr>
              <w:t xml:space="preserve">Driessen J, Cioffi M, Alide N, Landis-Lewis Z, </w:t>
            </w:r>
            <w:proofErr w:type="spellStart"/>
            <w:r>
              <w:rPr>
                <w:color w:val="000000"/>
              </w:rPr>
              <w:t>Gamadzi</w:t>
            </w:r>
            <w:proofErr w:type="spellEnd"/>
            <w:r>
              <w:rPr>
                <w:color w:val="000000"/>
              </w:rPr>
              <w:t xml:space="preserve"> G, Gadabu OJ, </w:t>
            </w:r>
            <w:r>
              <w:rPr>
                <w:b/>
                <w:color w:val="000000"/>
              </w:rPr>
              <w:t>Douglas G</w:t>
            </w:r>
            <w:r>
              <w:rPr>
                <w:color w:val="000000"/>
              </w:rPr>
              <w:t>. Modeling return on investment for an electronic medical record system in Lilongwe, Malawi. Journal of the American Medical Informatics Association: JAMIA. 2012 Nov 9. PMCID: PMC3721156</w:t>
            </w:r>
          </w:p>
        </w:tc>
      </w:tr>
      <w:tr w:rsidR="002A7914" w14:paraId="4DA028A4" w14:textId="77777777" w:rsidTr="00A113DF">
        <w:trPr>
          <w:gridAfter w:val="1"/>
          <w:wAfter w:w="277" w:type="dxa"/>
        </w:trPr>
        <w:tc>
          <w:tcPr>
            <w:tcW w:w="10523" w:type="dxa"/>
            <w:gridSpan w:val="6"/>
          </w:tcPr>
          <w:p w14:paraId="5C3D48CC" w14:textId="77777777" w:rsidR="002A7914" w:rsidRDefault="00176A79">
            <w:pPr>
              <w:widowControl w:val="0"/>
              <w:rPr>
                <w:color w:val="000000"/>
              </w:rPr>
            </w:pPr>
            <w:r>
              <w:rPr>
                <w:color w:val="000000"/>
              </w:rPr>
              <w:tab/>
            </w:r>
          </w:p>
          <w:p w14:paraId="361E90A7" w14:textId="77777777" w:rsidR="002A7914" w:rsidRDefault="002A7914">
            <w:pPr>
              <w:widowControl w:val="0"/>
              <w:rPr>
                <w:color w:val="000000"/>
              </w:rPr>
            </w:pPr>
          </w:p>
        </w:tc>
      </w:tr>
      <w:tr w:rsidR="002A7914" w14:paraId="3CE7E116" w14:textId="77777777" w:rsidTr="00A113DF">
        <w:trPr>
          <w:gridAfter w:val="1"/>
          <w:wAfter w:w="277" w:type="dxa"/>
        </w:trPr>
        <w:tc>
          <w:tcPr>
            <w:tcW w:w="351" w:type="dxa"/>
            <w:gridSpan w:val="3"/>
          </w:tcPr>
          <w:p w14:paraId="1443EA7B" w14:textId="77777777" w:rsidR="002A7914" w:rsidRDefault="00176A79">
            <w:pPr>
              <w:widowControl w:val="0"/>
              <w:rPr>
                <w:color w:val="000000"/>
              </w:rPr>
            </w:pPr>
            <w:r>
              <w:rPr>
                <w:color w:val="000000"/>
              </w:rPr>
              <w:t>5.</w:t>
            </w:r>
          </w:p>
        </w:tc>
        <w:tc>
          <w:tcPr>
            <w:tcW w:w="10172" w:type="dxa"/>
            <w:gridSpan w:val="3"/>
          </w:tcPr>
          <w:p w14:paraId="0C872E6E" w14:textId="77777777" w:rsidR="002A7914" w:rsidRDefault="00176A79">
            <w:pPr>
              <w:widowControl w:val="0"/>
              <w:jc w:val="both"/>
              <w:rPr>
                <w:color w:val="000000"/>
              </w:rPr>
            </w:pPr>
            <w:r>
              <w:rPr>
                <w:b/>
                <w:color w:val="000000"/>
              </w:rPr>
              <w:t>Improving Civil Registration in Malawi, Africa</w:t>
            </w:r>
            <w:r>
              <w:rPr>
                <w:color w:val="000000"/>
              </w:rPr>
              <w:t xml:space="preserve">: In many low- and middle-income countries most people are born and die without appearing in any official statistic or record. In 2001 we stated working in Malawi, Africa, a landlocked country with a population of roughly 14 million. With no form of civil registration in Malawi patients could not be uniquely identified making continuity of care for patients with chronic illness challenging. In 2001 we </w:t>
            </w:r>
            <w:r>
              <w:t>started</w:t>
            </w:r>
            <w:r>
              <w:rPr>
                <w:color w:val="000000"/>
              </w:rPr>
              <w:t xml:space="preserve"> working in Kamuzu Central Hospital, a tertiary hospital in Malawi’s capital city of Lilongwe. We developed and introduced a simple electronic patient registration system to issue unique patient ID numbers to patients as they entered the hospital. By the end of 2019 this system had been expanded to more than 200 hospitals and health centers in Malawi and more than 4 million nationally unique patient IDs had been issued. Continuity of care for more than 450,000 HIV patients is provided using this ID platform. To complement this approach we started an initiative to </w:t>
            </w:r>
            <w:r>
              <w:t>issue</w:t>
            </w:r>
            <w:r>
              <w:rPr>
                <w:color w:val="000000"/>
              </w:rPr>
              <w:t xml:space="preserve"> ID numbers at the community level with the goal of both reducing the demand for patient registration at the health facility level and empowering community leaders through access to village census information. Built on an existing paper-based register model, in 2013 we introduced an electronic village register used by community leaders. This electronic village register has been deployed in 83 villages in Malawi Traditional Authority of </w:t>
            </w:r>
            <w:proofErr w:type="spellStart"/>
            <w:r>
              <w:rPr>
                <w:color w:val="000000"/>
              </w:rPr>
              <w:t>Mtema</w:t>
            </w:r>
            <w:proofErr w:type="spellEnd"/>
            <w:r>
              <w:rPr>
                <w:color w:val="000000"/>
              </w:rPr>
              <w:t xml:space="preserve"> covering a combined population of more than 40,000 citizens. Our work is now expanding to birth registration in rural health centers in Malawi using an integrated approach that takes data from existing electronic medical record systems to pre-populate the birth report.</w:t>
            </w:r>
          </w:p>
          <w:p w14:paraId="390CD8D9" w14:textId="77777777" w:rsidR="002A7914" w:rsidRDefault="002A7914">
            <w:pPr>
              <w:widowControl w:val="0"/>
              <w:rPr>
                <w:color w:val="000000"/>
              </w:rPr>
            </w:pPr>
          </w:p>
        </w:tc>
      </w:tr>
      <w:tr w:rsidR="002A7914" w14:paraId="05CEB56A" w14:textId="77777777" w:rsidTr="00A113DF">
        <w:tc>
          <w:tcPr>
            <w:tcW w:w="276" w:type="dxa"/>
            <w:gridSpan w:val="2"/>
          </w:tcPr>
          <w:p w14:paraId="26B2E42F"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37E894B9" w14:textId="77777777" w:rsidR="002A7914" w:rsidRDefault="00176A79">
            <w:pPr>
              <w:widowControl w:val="0"/>
              <w:ind w:left="283" w:right="226"/>
              <w:rPr>
                <w:color w:val="000000"/>
              </w:rPr>
            </w:pPr>
            <w:r>
              <w:rPr>
                <w:color w:val="000000"/>
              </w:rPr>
              <w:t>a.</w:t>
            </w:r>
          </w:p>
        </w:tc>
        <w:tc>
          <w:tcPr>
            <w:tcW w:w="9822" w:type="dxa"/>
            <w:gridSpan w:val="3"/>
          </w:tcPr>
          <w:p w14:paraId="709E5924" w14:textId="77777777" w:rsidR="002A7914" w:rsidRDefault="00176A79">
            <w:pPr>
              <w:widowControl w:val="0"/>
              <w:ind w:right="226"/>
              <w:rPr>
                <w:color w:val="000000"/>
              </w:rPr>
            </w:pPr>
            <w:proofErr w:type="spellStart"/>
            <w:r>
              <w:rPr>
                <w:color w:val="000000"/>
              </w:rPr>
              <w:t>Gabadu</w:t>
            </w:r>
            <w:proofErr w:type="spellEnd"/>
            <w:r>
              <w:rPr>
                <w:color w:val="000000"/>
              </w:rPr>
              <w:t xml:space="preserve"> OJ, Ben-Smith A, </w:t>
            </w:r>
            <w:r>
              <w:rPr>
                <w:b/>
                <w:color w:val="000000"/>
              </w:rPr>
              <w:t>Douglas GP</w:t>
            </w:r>
            <w:r>
              <w:rPr>
                <w:color w:val="000000"/>
              </w:rPr>
              <w:t>, Chirwa-</w:t>
            </w:r>
            <w:proofErr w:type="spellStart"/>
            <w:r>
              <w:rPr>
                <w:color w:val="000000"/>
              </w:rPr>
              <w:t>Nasasara</w:t>
            </w:r>
            <w:proofErr w:type="spellEnd"/>
            <w:r>
              <w:rPr>
                <w:color w:val="000000"/>
              </w:rPr>
              <w:t xml:space="preserve"> K, </w:t>
            </w:r>
            <w:proofErr w:type="spellStart"/>
            <w:r>
              <w:rPr>
                <w:color w:val="000000"/>
              </w:rPr>
              <w:t>Manjomo</w:t>
            </w:r>
            <w:proofErr w:type="spellEnd"/>
            <w:r>
              <w:rPr>
                <w:color w:val="000000"/>
              </w:rPr>
              <w:t xml:space="preserve"> RC, Harries AD, </w:t>
            </w:r>
            <w:proofErr w:type="spellStart"/>
            <w:r>
              <w:rPr>
                <w:color w:val="000000"/>
              </w:rPr>
              <w:t>Dambula</w:t>
            </w:r>
            <w:proofErr w:type="spellEnd"/>
            <w:r>
              <w:rPr>
                <w:color w:val="000000"/>
              </w:rPr>
              <w:t xml:space="preserve"> I, </w:t>
            </w:r>
            <w:proofErr w:type="spellStart"/>
            <w:r>
              <w:rPr>
                <w:color w:val="000000"/>
              </w:rPr>
              <w:t>Kang’oma</w:t>
            </w:r>
            <w:proofErr w:type="spellEnd"/>
            <w:r>
              <w:rPr>
                <w:color w:val="000000"/>
              </w:rPr>
              <w:t xml:space="preserve"> S, Chiumia T, </w:t>
            </w:r>
            <w:proofErr w:type="spellStart"/>
            <w:r>
              <w:rPr>
                <w:color w:val="000000"/>
              </w:rPr>
              <w:t>Chinsinga</w:t>
            </w:r>
            <w:proofErr w:type="spellEnd"/>
            <w:r>
              <w:rPr>
                <w:color w:val="000000"/>
              </w:rPr>
              <w:t xml:space="preserve"> FB. Scaling up electronic village registers for measuring vital statistics in rural villages in Malawi. Public Health Action. 2018 Jun 21;8(2):7984. </w:t>
            </w:r>
            <w:proofErr w:type="spellStart"/>
            <w:r>
              <w:rPr>
                <w:color w:val="000000"/>
              </w:rPr>
              <w:t>doi</w:t>
            </w:r>
            <w:proofErr w:type="spellEnd"/>
            <w:r>
              <w:rPr>
                <w:color w:val="000000"/>
              </w:rPr>
              <w:t>: 10.5588/pha.17.0116. PMID: 29946524 PMCID: PMC6012956</w:t>
            </w:r>
          </w:p>
        </w:tc>
      </w:tr>
      <w:tr w:rsidR="002A7914" w14:paraId="1EC5FB7C" w14:textId="77777777" w:rsidTr="00A113DF">
        <w:tc>
          <w:tcPr>
            <w:tcW w:w="276" w:type="dxa"/>
            <w:gridSpan w:val="2"/>
          </w:tcPr>
          <w:p w14:paraId="66125662" w14:textId="77777777" w:rsidR="002A7914" w:rsidRDefault="002A7914">
            <w:pPr>
              <w:widowControl w:val="0"/>
              <w:pBdr>
                <w:top w:val="nil"/>
                <w:left w:val="nil"/>
                <w:bottom w:val="nil"/>
                <w:right w:val="nil"/>
                <w:between w:val="nil"/>
              </w:pBdr>
              <w:spacing w:line="276" w:lineRule="auto"/>
              <w:rPr>
                <w:color w:val="000000"/>
              </w:rPr>
            </w:pPr>
          </w:p>
        </w:tc>
        <w:tc>
          <w:tcPr>
            <w:tcW w:w="702" w:type="dxa"/>
            <w:gridSpan w:val="2"/>
          </w:tcPr>
          <w:p w14:paraId="6888D440" w14:textId="77777777" w:rsidR="002A7914" w:rsidRDefault="00176A79">
            <w:pPr>
              <w:widowControl w:val="0"/>
              <w:ind w:left="283" w:right="226"/>
              <w:rPr>
                <w:color w:val="000000"/>
              </w:rPr>
            </w:pPr>
            <w:r>
              <w:rPr>
                <w:color w:val="000000"/>
              </w:rPr>
              <w:t>b.</w:t>
            </w:r>
          </w:p>
          <w:p w14:paraId="6443959B" w14:textId="77777777" w:rsidR="002A7914" w:rsidRDefault="002A7914">
            <w:pPr>
              <w:widowControl w:val="0"/>
              <w:ind w:left="283" w:right="226"/>
              <w:rPr>
                <w:color w:val="000000"/>
              </w:rPr>
            </w:pPr>
          </w:p>
        </w:tc>
        <w:tc>
          <w:tcPr>
            <w:tcW w:w="9822" w:type="dxa"/>
            <w:gridSpan w:val="3"/>
          </w:tcPr>
          <w:p w14:paraId="0FCF4CE7" w14:textId="1B68F581" w:rsidR="002A7914" w:rsidRDefault="00176A79">
            <w:pPr>
              <w:widowControl w:val="0"/>
              <w:ind w:right="226"/>
              <w:rPr>
                <w:color w:val="000000"/>
              </w:rPr>
            </w:pPr>
            <w:r>
              <w:rPr>
                <w:color w:val="000000"/>
              </w:rPr>
              <w:t xml:space="preserve">Gadabu OJ, </w:t>
            </w:r>
            <w:proofErr w:type="spellStart"/>
            <w:r>
              <w:rPr>
                <w:color w:val="000000"/>
              </w:rPr>
              <w:t>Manjomo</w:t>
            </w:r>
            <w:proofErr w:type="spellEnd"/>
            <w:r>
              <w:rPr>
                <w:color w:val="000000"/>
              </w:rPr>
              <w:t xml:space="preserve"> RJ, </w:t>
            </w:r>
            <w:proofErr w:type="spellStart"/>
            <w:r>
              <w:rPr>
                <w:color w:val="000000"/>
              </w:rPr>
              <w:t>Mwakilama</w:t>
            </w:r>
            <w:proofErr w:type="spellEnd"/>
            <w:r>
              <w:rPr>
                <w:color w:val="000000"/>
              </w:rPr>
              <w:t xml:space="preserve"> S, </w:t>
            </w:r>
            <w:r>
              <w:rPr>
                <w:b/>
                <w:color w:val="000000"/>
              </w:rPr>
              <w:t>Douglas GP</w:t>
            </w:r>
            <w:r>
              <w:rPr>
                <w:color w:val="000000"/>
              </w:rPr>
              <w:t xml:space="preserve">, Harries T, Moyo C, </w:t>
            </w:r>
            <w:proofErr w:type="spellStart"/>
            <w:r>
              <w:rPr>
                <w:color w:val="000000"/>
              </w:rPr>
              <w:t>Makonokale</w:t>
            </w:r>
            <w:proofErr w:type="spellEnd"/>
            <w:r>
              <w:rPr>
                <w:color w:val="000000"/>
              </w:rPr>
              <w:t xml:space="preserve"> LD, </w:t>
            </w:r>
            <w:proofErr w:type="spellStart"/>
            <w:r>
              <w:rPr>
                <w:color w:val="000000"/>
              </w:rPr>
              <w:t>Kang’oma</w:t>
            </w:r>
            <w:proofErr w:type="spellEnd"/>
            <w:r>
              <w:rPr>
                <w:color w:val="000000"/>
              </w:rPr>
              <w:t xml:space="preserve"> S, </w:t>
            </w:r>
            <w:proofErr w:type="spellStart"/>
            <w:r>
              <w:rPr>
                <w:color w:val="000000"/>
              </w:rPr>
              <w:t>Chitedze</w:t>
            </w:r>
            <w:proofErr w:type="spellEnd"/>
            <w:r>
              <w:rPr>
                <w:color w:val="000000"/>
              </w:rPr>
              <w:t xml:space="preserve"> P, </w:t>
            </w:r>
            <w:proofErr w:type="spellStart"/>
            <w:r>
              <w:rPr>
                <w:color w:val="000000"/>
              </w:rPr>
              <w:t>Chinsinga</w:t>
            </w:r>
            <w:proofErr w:type="spellEnd"/>
            <w:r>
              <w:rPr>
                <w:color w:val="000000"/>
              </w:rPr>
              <w:t xml:space="preserve"> FB. An electronic register for vital registration in a rural village with no electricity in Malawi. Public Health Action. 2014 Sep 21; 4 (3):145-49. </w:t>
            </w:r>
            <w:proofErr w:type="spellStart"/>
            <w:r>
              <w:rPr>
                <w:color w:val="000000"/>
              </w:rPr>
              <w:t>doi</w:t>
            </w:r>
            <w:proofErr w:type="spellEnd"/>
            <w:r>
              <w:rPr>
                <w:color w:val="000000"/>
              </w:rPr>
              <w:t>:</w:t>
            </w:r>
            <w:r w:rsidR="00996AB1">
              <w:rPr>
                <w:color w:val="000000"/>
              </w:rPr>
              <w:t xml:space="preserve"> </w:t>
            </w:r>
            <w:r>
              <w:rPr>
                <w:color w:val="000000"/>
              </w:rPr>
              <w:t>10.5588/pha.14.0015 PMCID: PMC4533812</w:t>
            </w:r>
          </w:p>
        </w:tc>
      </w:tr>
    </w:tbl>
    <w:p w14:paraId="2C4D750D" w14:textId="77777777" w:rsidR="002A7914" w:rsidRDefault="002A7914">
      <w:pPr>
        <w:rPr>
          <w:b/>
          <w:color w:val="000000"/>
          <w:u w:val="single"/>
        </w:rPr>
      </w:pPr>
    </w:p>
    <w:p w14:paraId="3290459F" w14:textId="6C4DA37E" w:rsidR="002A7914" w:rsidRDefault="00176A79">
      <w:pPr>
        <w:rPr>
          <w:color w:val="000000"/>
        </w:rPr>
      </w:pPr>
      <w:r>
        <w:rPr>
          <w:color w:val="000000"/>
        </w:rPr>
        <w:t>Complete list of Published Works</w:t>
      </w:r>
      <w:r w:rsidRPr="00D77385">
        <w:t>:  https://www.ncbi.nlm.nih.gov/myncbi/1x3P7o6cxxWUtm/bibliography/public/</w:t>
      </w:r>
    </w:p>
    <w:p w14:paraId="17ACEA87" w14:textId="77777777" w:rsidR="002A7914" w:rsidRDefault="002A7914">
      <w:pPr>
        <w:rPr>
          <w:b/>
        </w:rPr>
      </w:pPr>
    </w:p>
    <w:sectPr w:rsidR="002A7914">
      <w:headerReference w:type="default" r:id="rId7"/>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3310" w14:textId="77777777" w:rsidR="000D0D19" w:rsidRDefault="000D0D19">
      <w:r>
        <w:separator/>
      </w:r>
    </w:p>
  </w:endnote>
  <w:endnote w:type="continuationSeparator" w:id="0">
    <w:p w14:paraId="78B1755B" w14:textId="77777777" w:rsidR="000D0D19" w:rsidRDefault="000D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B1E7" w14:textId="77777777" w:rsidR="000D0D19" w:rsidRDefault="000D0D19">
      <w:r>
        <w:separator/>
      </w:r>
    </w:p>
  </w:footnote>
  <w:footnote w:type="continuationSeparator" w:id="0">
    <w:p w14:paraId="78DCE124" w14:textId="77777777" w:rsidR="000D0D19" w:rsidRDefault="000D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9BC4" w14:textId="77777777" w:rsidR="002A7914" w:rsidRDefault="002A7914">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14"/>
    <w:rsid w:val="000D0D19"/>
    <w:rsid w:val="00176A79"/>
    <w:rsid w:val="002709ED"/>
    <w:rsid w:val="002A7914"/>
    <w:rsid w:val="003E7BC9"/>
    <w:rsid w:val="00765E9D"/>
    <w:rsid w:val="008A792E"/>
    <w:rsid w:val="00996AB1"/>
    <w:rsid w:val="009E1FC8"/>
    <w:rsid w:val="00A113DF"/>
    <w:rsid w:val="00C33EA7"/>
    <w:rsid w:val="00D77385"/>
    <w:rsid w:val="00D8708F"/>
    <w:rsid w:val="00E67283"/>
    <w:rsid w:val="00ED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C4A0"/>
  <w15:docId w15:val="{854EFA5F-5979-4BEA-AFFF-175A658A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52"/>
    <w:pPr>
      <w:autoSpaceDE w:val="0"/>
      <w:autoSpaceDN w:val="0"/>
    </w:pPr>
    <w:rPr>
      <w:szCs w:val="24"/>
    </w:rPr>
  </w:style>
  <w:style w:type="paragraph" w:styleId="Heading1">
    <w:name w:val="heading 1"/>
    <w:basedOn w:val="Normal"/>
    <w:next w:val="Normal"/>
    <w:qFormat/>
    <w:rsid w:val="002B7443"/>
    <w:pPr>
      <w:pBdr>
        <w:top w:val="single" w:sz="4" w:space="12" w:color="auto"/>
      </w:pBdr>
      <w:jc w:val="center"/>
      <w:outlineLvl w:val="0"/>
    </w:pPr>
    <w:rPr>
      <w:b/>
      <w:bCs/>
      <w:szCs w:val="22"/>
    </w:rPr>
  </w:style>
  <w:style w:type="paragraph" w:styleId="Heading2">
    <w:name w:val="heading 2"/>
    <w:basedOn w:val="Subtitle"/>
    <w:next w:val="Normal"/>
    <w:qFormat/>
    <w:rsid w:val="00656AB8"/>
    <w:pPr>
      <w:outlineLvl w:val="1"/>
    </w:pPr>
  </w:style>
  <w:style w:type="paragraph" w:styleId="Heading3">
    <w:name w:val="heading 3"/>
    <w:basedOn w:val="Subtitle2"/>
    <w:next w:val="Normal"/>
    <w:link w:val="Heading3Char"/>
    <w:unhideWhenUsed/>
    <w:qFormat/>
    <w:rsid w:val="00656AB8"/>
    <w:pPr>
      <w:outlineLvl w:val="2"/>
    </w:p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E6FB5"/>
    <w:pPr>
      <w:pBdr>
        <w:top w:val="single" w:sz="4" w:space="1" w:color="auto"/>
      </w:pBdr>
      <w:spacing w:before="240"/>
      <w:jc w:val="center"/>
    </w:pPr>
    <w:rPr>
      <w:b/>
    </w:rPr>
  </w:style>
  <w:style w:type="paragraph" w:styleId="ListBullet">
    <w:name w:val="List Bullet"/>
    <w:basedOn w:val="Normal"/>
    <w:autoRedefine/>
    <w:pPr>
      <w:tabs>
        <w:tab w:val="num" w:pos="720"/>
      </w:tabs>
      <w:ind w:left="720" w:hanging="720"/>
    </w:pPr>
    <w:rPr>
      <w:rFonts w:ascii="Times" w:hAnsi="Times" w:cs="Times"/>
    </w:rPr>
  </w:style>
  <w:style w:type="paragraph" w:styleId="ListBullet2">
    <w:name w:val="List Bullet 2"/>
    <w:basedOn w:val="Normal"/>
    <w:autoRedefine/>
    <w:pPr>
      <w:tabs>
        <w:tab w:val="num" w:pos="720"/>
      </w:tabs>
      <w:ind w:left="720" w:hanging="720"/>
    </w:pPr>
    <w:rPr>
      <w:rFonts w:ascii="Times" w:hAnsi="Times" w:cs="Times"/>
    </w:rPr>
  </w:style>
  <w:style w:type="paragraph" w:styleId="ListBullet3">
    <w:name w:val="List Bullet 3"/>
    <w:basedOn w:val="Normal"/>
    <w:autoRedefine/>
    <w:pPr>
      <w:tabs>
        <w:tab w:val="num" w:pos="720"/>
      </w:tabs>
      <w:ind w:left="720" w:hanging="720"/>
    </w:pPr>
    <w:rPr>
      <w:rFonts w:ascii="Times" w:hAnsi="Times" w:cs="Times"/>
    </w:rPr>
  </w:style>
  <w:style w:type="paragraph" w:styleId="ListBullet4">
    <w:name w:val="List Bullet 4"/>
    <w:basedOn w:val="Normal"/>
    <w:autoRedefine/>
    <w:pPr>
      <w:tabs>
        <w:tab w:val="num" w:pos="720"/>
      </w:tabs>
      <w:ind w:left="720" w:hanging="720"/>
    </w:pPr>
    <w:rPr>
      <w:rFonts w:ascii="Times" w:hAnsi="Times" w:cs="Times"/>
    </w:rPr>
  </w:style>
  <w:style w:type="paragraph" w:styleId="ListBullet5">
    <w:name w:val="List Bullet 5"/>
    <w:basedOn w:val="Normal"/>
    <w:autoRedefine/>
    <w:pPr>
      <w:tabs>
        <w:tab w:val="num" w:pos="720"/>
      </w:tabs>
      <w:ind w:left="720" w:hanging="720"/>
    </w:pPr>
    <w:rPr>
      <w:rFonts w:ascii="Times" w:hAnsi="Times" w:cs="Times"/>
    </w:rPr>
  </w:style>
  <w:style w:type="paragraph" w:styleId="ListNumber">
    <w:name w:val="List Number"/>
    <w:basedOn w:val="Normal"/>
    <w:pPr>
      <w:tabs>
        <w:tab w:val="num" w:pos="720"/>
      </w:tabs>
      <w:ind w:left="720" w:hanging="720"/>
    </w:pPr>
    <w:rPr>
      <w:rFonts w:ascii="Times" w:hAnsi="Times" w:cs="Times"/>
    </w:rPr>
  </w:style>
  <w:style w:type="paragraph" w:styleId="ListNumber2">
    <w:name w:val="List Number 2"/>
    <w:basedOn w:val="Normal"/>
    <w:pPr>
      <w:tabs>
        <w:tab w:val="num" w:pos="720"/>
      </w:tabs>
      <w:ind w:left="720" w:hanging="720"/>
    </w:pPr>
    <w:rPr>
      <w:rFonts w:ascii="Times" w:hAnsi="Times" w:cs="Times"/>
    </w:rPr>
  </w:style>
  <w:style w:type="paragraph" w:styleId="ListNumber3">
    <w:name w:val="List Number 3"/>
    <w:basedOn w:val="Normal"/>
    <w:pPr>
      <w:tabs>
        <w:tab w:val="num" w:pos="720"/>
      </w:tabs>
      <w:ind w:left="720" w:hanging="720"/>
    </w:pPr>
    <w:rPr>
      <w:rFonts w:ascii="Times" w:hAnsi="Times" w:cs="Times"/>
    </w:rPr>
  </w:style>
  <w:style w:type="paragraph" w:styleId="ListNumber4">
    <w:name w:val="List Number 4"/>
    <w:basedOn w:val="Normal"/>
    <w:pPr>
      <w:tabs>
        <w:tab w:val="num" w:pos="720"/>
      </w:tabs>
      <w:ind w:left="720" w:hanging="720"/>
    </w:pPr>
    <w:rPr>
      <w:rFonts w:ascii="Times" w:hAnsi="Times" w:cs="Times"/>
    </w:rPr>
  </w:style>
  <w:style w:type="paragraph" w:styleId="ListNumber5">
    <w:name w:val="List Number 5"/>
    <w:basedOn w:val="Normal"/>
    <w:pPr>
      <w:tabs>
        <w:tab w:val="num" w:pos="720"/>
      </w:tabs>
      <w:ind w:left="720" w:hanging="720"/>
    </w:pPr>
    <w:rPr>
      <w:rFonts w:ascii="Times" w:hAnsi="Times" w:cs="Times"/>
    </w:rPr>
  </w:style>
  <w:style w:type="paragraph" w:styleId="BodyTextIndent">
    <w:name w:val="Body Text Indent"/>
    <w:basedOn w:val="Normal"/>
    <w:link w:val="BodyTextIndentChar"/>
    <w:pPr>
      <w:ind w:left="720"/>
      <w:jc w:val="both"/>
    </w:pPr>
    <w:rPr>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iCs/>
      <w:sz w:val="16"/>
      <w:szCs w:val="16"/>
    </w:rPr>
  </w:style>
  <w:style w:type="paragraph" w:customStyle="1" w:styleId="FormFieldCaption">
    <w:name w:val="Form Field Caption"/>
    <w:basedOn w:val="Normal"/>
    <w:pPr>
      <w:tabs>
        <w:tab w:val="left" w:pos="270"/>
      </w:tabs>
    </w:pPr>
    <w:rPr>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pPr>
      <w:keepNext/>
      <w:spacing w:before="360" w:after="120"/>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PlainText">
    <w:name w:val="Plain Text"/>
    <w:basedOn w:val="Normal"/>
    <w:link w:val="PlainTextChar"/>
    <w:uiPriority w:val="99"/>
    <w:rsid w:val="00577E53"/>
    <w:rPr>
      <w:rFonts w:ascii="Courier New" w:eastAsiaTheme="minorEastAsia" w:hAnsi="Courier New"/>
      <w:sz w:val="20"/>
      <w:szCs w:val="20"/>
    </w:rPr>
  </w:style>
  <w:style w:type="character" w:customStyle="1" w:styleId="PlainTextChar">
    <w:name w:val="Plain Text Char"/>
    <w:basedOn w:val="DefaultParagraphFont"/>
    <w:link w:val="PlainText"/>
    <w:uiPriority w:val="99"/>
    <w:rsid w:val="00577E53"/>
    <w:rPr>
      <w:rFonts w:ascii="Courier New" w:eastAsiaTheme="minorEastAsia" w:hAnsi="Courier Ne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TlrtXnADDSjntlzDoMlbP0JRJQ==">AMUW2mWjy+/S5d1HqzR0mRtItVWq9NgLBQMZQ1Yo7fQN7BRlNn++f8a1QG/68keqg+9MtZ0zfPaEuHIRYjimCdo7tARnxV8QT+s+si6myleL8WRSoaVWAEnKskEyvkVIuG0v8vmtjN4ph2F530u/SLx/7isz+FHFbw==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8416C2-D17F-43B1-BBEE-44ED4F036D3E}"/>
</file>

<file path=customXml/itemProps3.xml><?xml version="1.0" encoding="utf-8"?>
<ds:datastoreItem xmlns:ds="http://schemas.openxmlformats.org/officeDocument/2006/customXml" ds:itemID="{3AE8B5B8-E148-4A01-AF7E-06504BACA632}"/>
</file>

<file path=docProps/app.xml><?xml version="1.0" encoding="utf-8"?>
<Properties xmlns="http://schemas.openxmlformats.org/officeDocument/2006/extended-properties" xmlns:vt="http://schemas.openxmlformats.org/officeDocument/2006/docPropsVTypes">
  <Template>Normal</Template>
  <TotalTime>0</TotalTime>
  <Pages>4</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Extramural Programs</dc:creator>
  <cp:lastModifiedBy>Karnbauer, Barbara</cp:lastModifiedBy>
  <cp:revision>2</cp:revision>
  <dcterms:created xsi:type="dcterms:W3CDTF">2022-04-13T13:18:00Z</dcterms:created>
  <dcterms:modified xsi:type="dcterms:W3CDTF">2022-04-13T13:18:00Z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